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0E" w:rsidRDefault="00801B62" w:rsidP="0090090E">
      <w:pPr>
        <w:autoSpaceDE w:val="0"/>
        <w:autoSpaceDN w:val="0"/>
        <w:adjustRightInd w:val="0"/>
        <w:rPr>
          <w:rFonts w:ascii="AvenirNext-DemiBold" w:hAnsi="AvenirNext-DemiBold" w:cs="AvenirNext-DemiBold"/>
          <w:b/>
          <w:bCs/>
          <w:color w:val="FFC50C"/>
          <w:sz w:val="26"/>
          <w:szCs w:val="26"/>
        </w:rPr>
      </w:pPr>
      <w:r>
        <w:rPr>
          <w:rFonts w:ascii="AvenirNext-DemiBold" w:hAnsi="AvenirNext-DemiBold" w:cs="AvenirNext-DemiBold"/>
          <w:b/>
          <w:bCs/>
          <w:noProof/>
          <w:color w:val="FFC50C"/>
          <w:sz w:val="26"/>
          <w:szCs w:val="26"/>
        </w:rPr>
        <mc:AlternateContent>
          <mc:Choice Requires="wps">
            <w:drawing>
              <wp:anchor distT="0" distB="0" distL="114300" distR="114300" simplePos="0" relativeHeight="251658752" behindDoc="0" locked="0" layoutInCell="1" allowOverlap="1">
                <wp:simplePos x="0" y="0"/>
                <wp:positionH relativeFrom="column">
                  <wp:posOffset>2300605</wp:posOffset>
                </wp:positionH>
                <wp:positionV relativeFrom="paragraph">
                  <wp:posOffset>1263650</wp:posOffset>
                </wp:positionV>
                <wp:extent cx="3105150" cy="587375"/>
                <wp:effectExtent l="0" t="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3A6" w:rsidRPr="00E63CF4" w:rsidRDefault="005D13A6" w:rsidP="0090090E">
                            <w:pPr>
                              <w:jc w:val="center"/>
                              <w:rPr>
                                <w:b/>
                                <w:color w:val="000000"/>
                                <w:sz w:val="32"/>
                                <w:szCs w:val="32"/>
                              </w:rPr>
                            </w:pPr>
                            <w:proofErr w:type="gramStart"/>
                            <w:r w:rsidRPr="00E63CF4">
                              <w:rPr>
                                <w:b/>
                                <w:color w:val="000000"/>
                                <w:sz w:val="32"/>
                                <w:szCs w:val="32"/>
                              </w:rPr>
                              <w:t>IT</w:t>
                            </w:r>
                            <w:proofErr w:type="gramEnd"/>
                            <w:r w:rsidRPr="00E63CF4">
                              <w:rPr>
                                <w:b/>
                                <w:color w:val="000000"/>
                                <w:sz w:val="32"/>
                                <w:szCs w:val="32"/>
                              </w:rPr>
                              <w:t xml:space="preserve"> Support Services Initiative</w:t>
                            </w:r>
                          </w:p>
                          <w:p w:rsidR="005D13A6" w:rsidRPr="00E63CF4" w:rsidRDefault="00801B62" w:rsidP="0090090E">
                            <w:pPr>
                              <w:jc w:val="center"/>
                              <w:rPr>
                                <w:b/>
                                <w:sz w:val="32"/>
                                <w:szCs w:val="32"/>
                              </w:rPr>
                            </w:pPr>
                            <w:r>
                              <w:rPr>
                                <w:b/>
                                <w:sz w:val="32"/>
                                <w:szCs w:val="32"/>
                              </w:rPr>
                              <w:t>March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1.15pt;margin-top:99.5pt;width:244.5pt;height:46.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" stroked="f">
                <v:textbox style="mso-fit-shape-to-text:t">
                  <w:txbxContent>
                    <w:p w:rsidR="005D13A6" w:rsidRPr="00E63CF4" w:rsidRDefault="005D13A6" w:rsidP="0090090E">
                      <w:pPr>
                        <w:jc w:val="center"/>
                        <w:rPr>
                          <w:b/>
                          <w:color w:val="000000"/>
                          <w:sz w:val="32"/>
                          <w:szCs w:val="32"/>
                        </w:rPr>
                      </w:pPr>
                      <w:proofErr w:type="gramStart"/>
                      <w:r w:rsidRPr="00E63CF4">
                        <w:rPr>
                          <w:b/>
                          <w:color w:val="000000"/>
                          <w:sz w:val="32"/>
                          <w:szCs w:val="32"/>
                        </w:rPr>
                        <w:t>IT</w:t>
                      </w:r>
                      <w:proofErr w:type="gramEnd"/>
                      <w:r w:rsidRPr="00E63CF4">
                        <w:rPr>
                          <w:b/>
                          <w:color w:val="000000"/>
                          <w:sz w:val="32"/>
                          <w:szCs w:val="32"/>
                        </w:rPr>
                        <w:t xml:space="preserve"> Support Services Initiative</w:t>
                      </w:r>
                    </w:p>
                    <w:p w:rsidR="005D13A6" w:rsidRPr="00E63CF4" w:rsidRDefault="00801B62" w:rsidP="0090090E">
                      <w:pPr>
                        <w:jc w:val="center"/>
                        <w:rPr>
                          <w:b/>
                          <w:sz w:val="32"/>
                          <w:szCs w:val="32"/>
                        </w:rPr>
                      </w:pPr>
                      <w:r>
                        <w:rPr>
                          <w:b/>
                          <w:sz w:val="32"/>
                          <w:szCs w:val="32"/>
                        </w:rPr>
                        <w:t>March 2019</w:t>
                      </w:r>
                    </w:p>
                  </w:txbxContent>
                </v:textbox>
              </v:shape>
            </w:pict>
          </mc:Fallback>
        </mc:AlternateContent>
      </w:r>
      <w:r w:rsidR="0090090E">
        <w:rPr>
          <w:rFonts w:ascii="AvenirNext-DemiBold" w:hAnsi="AvenirNext-DemiBold" w:cs="AvenirNext-DemiBold"/>
          <w:b/>
          <w:bCs/>
          <w:noProof/>
          <w:color w:val="FFC50C"/>
          <w:sz w:val="26"/>
          <w:szCs w:val="26"/>
        </w:rPr>
        <w:drawing>
          <wp:inline distT="0" distB="0" distL="0" distR="0">
            <wp:extent cx="5943600" cy="1752600"/>
            <wp:effectExtent l="19050" t="0" r="0" b="0"/>
            <wp:docPr id="1" name="Picture 0" descr="LocalPublicHealth_Logo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PublicHealth_Logo_Final2.jpg"/>
                    <pic:cNvPicPr/>
                  </pic:nvPicPr>
                  <pic:blipFill>
                    <a:blip r:embed="rId6" cstate="print"/>
                    <a:stretch>
                      <a:fillRect/>
                    </a:stretch>
                  </pic:blipFill>
                  <pic:spPr>
                    <a:xfrm>
                      <a:off x="0" y="0"/>
                      <a:ext cx="5943600" cy="1752600"/>
                    </a:xfrm>
                    <a:prstGeom prst="rect">
                      <a:avLst/>
                    </a:prstGeom>
                  </pic:spPr>
                </pic:pic>
              </a:graphicData>
            </a:graphic>
          </wp:inline>
        </w:drawing>
      </w:r>
    </w:p>
    <w:p w:rsidR="0090090E" w:rsidRDefault="0090090E" w:rsidP="0090090E">
      <w:pPr>
        <w:autoSpaceDE w:val="0"/>
        <w:autoSpaceDN w:val="0"/>
        <w:adjustRightInd w:val="0"/>
        <w:rPr>
          <w:rFonts w:ascii="AvenirNext-DemiBold" w:hAnsi="AvenirNext-DemiBold" w:cs="AvenirNext-DemiBold"/>
          <w:b/>
          <w:bCs/>
          <w:color w:val="FFC50C"/>
          <w:sz w:val="26"/>
          <w:szCs w:val="26"/>
        </w:rPr>
      </w:pPr>
    </w:p>
    <w:p w:rsidR="004A79CD" w:rsidRDefault="0090090E" w:rsidP="00541C99">
      <w:pPr>
        <w:autoSpaceDE w:val="0"/>
        <w:autoSpaceDN w:val="0"/>
        <w:adjustRightInd w:val="0"/>
        <w:rPr>
          <w:rFonts w:ascii="AvenirNext-DemiBold" w:hAnsi="AvenirNext-DemiBold" w:cs="AvenirNext-DemiBold"/>
          <w:b/>
          <w:bCs/>
          <w:color w:val="FFC50C"/>
          <w:sz w:val="26"/>
          <w:szCs w:val="26"/>
        </w:rPr>
      </w:pPr>
      <w:r w:rsidRPr="0090090E">
        <w:rPr>
          <w:rFonts w:asciiTheme="majorHAnsi" w:hAnsiTheme="majorHAnsi" w:cs="Times New Roman"/>
          <w:b/>
          <w:bCs/>
          <w:color w:val="1F497D" w:themeColor="text2"/>
          <w:sz w:val="26"/>
          <w:szCs w:val="26"/>
        </w:rPr>
        <w:t>Through participation as a consortium in the Rural Health Care Program, the Local Public Health Services Collaborative (LPHSC)</w:t>
      </w:r>
      <w:r w:rsidR="003A5380">
        <w:rPr>
          <w:rFonts w:asciiTheme="majorHAnsi" w:hAnsiTheme="majorHAnsi" w:cs="Times New Roman"/>
          <w:b/>
          <w:bCs/>
          <w:color w:val="1F497D" w:themeColor="text2"/>
          <w:sz w:val="26"/>
          <w:szCs w:val="26"/>
        </w:rPr>
        <w:t xml:space="preserve"> can offer LHDs</w:t>
      </w:r>
      <w:r w:rsidR="00913729">
        <w:rPr>
          <w:rFonts w:asciiTheme="majorHAnsi" w:hAnsiTheme="majorHAnsi" w:cs="Times New Roman"/>
          <w:b/>
          <w:bCs/>
          <w:color w:val="1F497D" w:themeColor="text2"/>
          <w:sz w:val="26"/>
          <w:szCs w:val="26"/>
        </w:rPr>
        <w:t xml:space="preserve"> in Ohio, both rural and non-rural,</w:t>
      </w:r>
      <w:r w:rsidR="003A5380">
        <w:rPr>
          <w:rFonts w:asciiTheme="majorHAnsi" w:hAnsiTheme="majorHAnsi" w:cs="Times New Roman"/>
          <w:b/>
          <w:bCs/>
          <w:color w:val="1F497D" w:themeColor="text2"/>
          <w:sz w:val="26"/>
          <w:szCs w:val="26"/>
        </w:rPr>
        <w:t xml:space="preserve"> significant </w:t>
      </w:r>
      <w:r w:rsidR="00E63CF4">
        <w:rPr>
          <w:rFonts w:asciiTheme="majorHAnsi" w:hAnsiTheme="majorHAnsi" w:cs="Times New Roman"/>
          <w:b/>
          <w:bCs/>
          <w:color w:val="1F497D" w:themeColor="text2"/>
          <w:sz w:val="26"/>
          <w:szCs w:val="26"/>
        </w:rPr>
        <w:t xml:space="preserve">cost </w:t>
      </w:r>
      <w:r w:rsidR="003A5380">
        <w:rPr>
          <w:rFonts w:asciiTheme="majorHAnsi" w:hAnsiTheme="majorHAnsi" w:cs="Times New Roman"/>
          <w:b/>
          <w:bCs/>
          <w:color w:val="1F497D" w:themeColor="text2"/>
          <w:sz w:val="26"/>
          <w:szCs w:val="26"/>
        </w:rPr>
        <w:t>savings for internet and phone services.</w:t>
      </w:r>
      <w:r w:rsidR="00BB621C">
        <w:rPr>
          <w:rFonts w:asciiTheme="majorHAnsi" w:hAnsiTheme="majorHAnsi" w:cs="Times New Roman"/>
          <w:b/>
          <w:bCs/>
          <w:color w:val="1F497D" w:themeColor="text2"/>
          <w:sz w:val="26"/>
          <w:szCs w:val="26"/>
        </w:rPr>
        <w:t xml:space="preserve">  </w:t>
      </w:r>
    </w:p>
    <w:p w:rsidR="0090090E" w:rsidRPr="00541C99" w:rsidRDefault="0090090E"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PROGRAM OVERVIEW</w:t>
      </w:r>
    </w:p>
    <w:p w:rsidR="0090090E" w:rsidRPr="003A5380" w:rsidRDefault="0090090E" w:rsidP="0090090E">
      <w:pPr>
        <w:autoSpaceDE w:val="0"/>
        <w:autoSpaceDN w:val="0"/>
        <w:adjustRightInd w:val="0"/>
        <w:rPr>
          <w:rFonts w:ascii="AvenirNext-Regular" w:hAnsi="AvenirNext-Regular" w:cs="AvenirNext-Regular"/>
          <w:sz w:val="20"/>
          <w:szCs w:val="20"/>
        </w:rPr>
      </w:pPr>
      <w:r w:rsidRPr="003A5380">
        <w:rPr>
          <w:rFonts w:ascii="AvenirNext-Regular" w:hAnsi="AvenirNext-Regular" w:cs="AvenirNext-Regular"/>
          <w:sz w:val="20"/>
          <w:szCs w:val="20"/>
        </w:rPr>
        <w:t>The Rural Health Care Program offers reduced rates for telecommunications services and Internet access to eligible healthcare providers. The program has been updated several times by the FCC to encourage greater participation by hospitals and clinics in rural areas. Currently administered by the Universal Service Administrative Company (USAC)</w:t>
      </w:r>
      <w:proofErr w:type="gramStart"/>
      <w:r w:rsidRPr="003A5380">
        <w:rPr>
          <w:rFonts w:ascii="AvenirNext-Regular" w:hAnsi="AvenirNext-Regular" w:cs="AvenirNext-Regular"/>
          <w:sz w:val="20"/>
          <w:szCs w:val="20"/>
        </w:rPr>
        <w:t>,the</w:t>
      </w:r>
      <w:proofErr w:type="gramEnd"/>
      <w:r w:rsidRPr="003A5380">
        <w:rPr>
          <w:rFonts w:ascii="AvenirNext-Regular" w:hAnsi="AvenirNext-Regular" w:cs="AvenirNext-Regular"/>
          <w:sz w:val="20"/>
          <w:szCs w:val="20"/>
        </w:rPr>
        <w:t xml:space="preserve"> program requires rural healthcare providers to submit</w:t>
      </w:r>
    </w:p>
    <w:p w:rsidR="0090090E" w:rsidRPr="003A5380" w:rsidRDefault="0090090E" w:rsidP="0090090E">
      <w:pPr>
        <w:autoSpaceDE w:val="0"/>
        <w:autoSpaceDN w:val="0"/>
        <w:adjustRightInd w:val="0"/>
        <w:rPr>
          <w:rFonts w:ascii="AvenirNext-Regular" w:hAnsi="AvenirNext-Regular" w:cs="AvenirNext-Regular"/>
          <w:sz w:val="20"/>
          <w:szCs w:val="20"/>
        </w:rPr>
      </w:pPr>
      <w:proofErr w:type="gramStart"/>
      <w:r w:rsidRPr="003A5380">
        <w:rPr>
          <w:rFonts w:ascii="AvenirNext-Regular" w:hAnsi="AvenirNext-Regular" w:cs="AvenirNext-Regular"/>
          <w:sz w:val="20"/>
          <w:szCs w:val="20"/>
        </w:rPr>
        <w:t>an</w:t>
      </w:r>
      <w:proofErr w:type="gramEnd"/>
      <w:r w:rsidRPr="003A5380">
        <w:rPr>
          <w:rFonts w:ascii="AvenirNext-Regular" w:hAnsi="AvenirNext-Regular" w:cs="AvenirNext-Regular"/>
          <w:sz w:val="20"/>
          <w:szCs w:val="20"/>
        </w:rPr>
        <w:t xml:space="preserve"> annual application to receive funding and is capped at $400 million per year.</w:t>
      </w:r>
    </w:p>
    <w:p w:rsidR="0090090E" w:rsidRPr="00541C99" w:rsidRDefault="0090090E"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HEALTHCARE CONNECT FUND</w:t>
      </w:r>
    </w:p>
    <w:p w:rsidR="0090090E" w:rsidRPr="003A5380" w:rsidRDefault="0090090E" w:rsidP="0090090E">
      <w:pPr>
        <w:autoSpaceDE w:val="0"/>
        <w:autoSpaceDN w:val="0"/>
        <w:adjustRightInd w:val="0"/>
        <w:rPr>
          <w:rFonts w:eastAsia="Times New Roman"/>
        </w:rPr>
      </w:pPr>
      <w:r w:rsidRPr="003A5380">
        <w:rPr>
          <w:rFonts w:ascii="AvenirNext-Regular" w:hAnsi="AvenirNext-Regular" w:cs="AvenirNext-Regular"/>
          <w:sz w:val="20"/>
          <w:szCs w:val="20"/>
        </w:rPr>
        <w:t>Created in December 2012 by the FCC, the Healthcare Connect Fund (HCF) supports wider access to broadband connectivity and broadband networks for rural healthcare providers. All eligible healthcare providers (HCPs) receive a 65% discount on broadband services, equipment, connections to research and education networks, and HCP construction and owned facilities, provided they are shown to be the most cost-effective solution.</w:t>
      </w:r>
    </w:p>
    <w:p w:rsidR="0090090E" w:rsidRPr="00541C99" w:rsidRDefault="0090090E"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TELECOMMUNICATIONS FUND</w:t>
      </w:r>
    </w:p>
    <w:p w:rsidR="0090090E" w:rsidRPr="00E63CF4" w:rsidRDefault="0090090E" w:rsidP="0090090E">
      <w:pPr>
        <w:autoSpaceDE w:val="0"/>
        <w:autoSpaceDN w:val="0"/>
        <w:adjustRightInd w:val="0"/>
        <w:rPr>
          <w:rFonts w:ascii="AvenirNext-Regular" w:hAnsi="AvenirNext-Regular" w:cs="AvenirNext-Regular"/>
          <w:sz w:val="20"/>
          <w:szCs w:val="20"/>
        </w:rPr>
      </w:pPr>
      <w:r w:rsidRPr="00E63CF4">
        <w:rPr>
          <w:rFonts w:ascii="AvenirNext-Regular" w:hAnsi="AvenirNext-Regular" w:cs="AvenirNext-Regular"/>
          <w:sz w:val="20"/>
          <w:szCs w:val="20"/>
        </w:rPr>
        <w:t xml:space="preserve">The </w:t>
      </w:r>
      <w:proofErr w:type="spellStart"/>
      <w:proofErr w:type="gramStart"/>
      <w:r w:rsidRPr="00E63CF4">
        <w:rPr>
          <w:rFonts w:ascii="AvenirNext-Regular" w:hAnsi="AvenirNext-Regular" w:cs="AvenirNext-Regular"/>
          <w:sz w:val="20"/>
          <w:szCs w:val="20"/>
        </w:rPr>
        <w:t>TelecommunicationsFund</w:t>
      </w:r>
      <w:proofErr w:type="spellEnd"/>
      <w:r w:rsidRPr="00E63CF4">
        <w:rPr>
          <w:rFonts w:ascii="AvenirNext-Regular" w:hAnsi="AvenirNext-Regular" w:cs="AvenirNext-Regular"/>
          <w:sz w:val="20"/>
          <w:szCs w:val="20"/>
        </w:rPr>
        <w:t>,</w:t>
      </w:r>
      <w:proofErr w:type="gramEnd"/>
      <w:r w:rsidRPr="00E63CF4">
        <w:rPr>
          <w:rFonts w:ascii="AvenirNext-Regular" w:hAnsi="AvenirNext-Regular" w:cs="AvenirNext-Regular"/>
          <w:sz w:val="20"/>
          <w:szCs w:val="20"/>
        </w:rPr>
        <w:t xml:space="preserve"> provides discounts for telecom and Internet access services. In this fund,</w:t>
      </w:r>
    </w:p>
    <w:p w:rsidR="0090090E" w:rsidRPr="00E63CF4" w:rsidRDefault="0090090E" w:rsidP="0090090E">
      <w:pPr>
        <w:autoSpaceDE w:val="0"/>
        <w:autoSpaceDN w:val="0"/>
        <w:adjustRightInd w:val="0"/>
        <w:rPr>
          <w:rFonts w:eastAsia="Times New Roman"/>
        </w:rPr>
      </w:pPr>
      <w:proofErr w:type="gramStart"/>
      <w:r w:rsidRPr="00E63CF4">
        <w:rPr>
          <w:rFonts w:ascii="AvenirNext-Regular" w:hAnsi="AvenirNext-Regular" w:cs="AvenirNext-Regular"/>
          <w:sz w:val="20"/>
          <w:szCs w:val="20"/>
        </w:rPr>
        <w:t>reimbursement</w:t>
      </w:r>
      <w:proofErr w:type="gramEnd"/>
      <w:r w:rsidRPr="00E63CF4">
        <w:rPr>
          <w:rFonts w:ascii="AvenirNext-Regular" w:hAnsi="AvenirNext-Regular" w:cs="AvenirNext-Regular"/>
          <w:sz w:val="20"/>
          <w:szCs w:val="20"/>
        </w:rPr>
        <w:t xml:space="preserve"> is designed to cover the cost difference between services in an FCC designated rural area versus an urban center. Reimbursement is calculated on a rate comparison or on a per mile cost.</w:t>
      </w:r>
    </w:p>
    <w:p w:rsidR="008A05B4" w:rsidRPr="00541C99" w:rsidRDefault="008A05B4"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Healthcare Connect Fund – the Consortium Approach</w:t>
      </w:r>
    </w:p>
    <w:p w:rsidR="008A05B4" w:rsidRPr="00541C99" w:rsidRDefault="008A05B4" w:rsidP="004A79CD">
      <w:pPr>
        <w:autoSpaceDE w:val="0"/>
        <w:autoSpaceDN w:val="0"/>
        <w:adjustRightInd w:val="0"/>
        <w:rPr>
          <w:rFonts w:asciiTheme="majorHAnsi" w:eastAsia="Times New Roman" w:hAnsiTheme="majorHAnsi" w:cstheme="majorBidi"/>
          <w:b/>
          <w:bCs/>
          <w:color w:val="4F81BD" w:themeColor="accent1"/>
        </w:rPr>
      </w:pPr>
      <w:r w:rsidRPr="00E63CF4">
        <w:rPr>
          <w:rFonts w:ascii="AvenirNext-Regular" w:hAnsi="AvenirNext-Regular" w:cs="AvenirNext-Regular"/>
          <w:sz w:val="20"/>
          <w:szCs w:val="20"/>
        </w:rPr>
        <w:t>A consortium is two or more health care providers (HCPs) that choose to request support as a single entity</w:t>
      </w:r>
      <w:r w:rsidRPr="00913729">
        <w:rPr>
          <w:rFonts w:ascii="AvenirNext-Regular" w:hAnsi="AvenirNext-Regular" w:cs="AvenirNext-Regular"/>
          <w:b/>
          <w:i/>
          <w:sz w:val="20"/>
          <w:szCs w:val="20"/>
        </w:rPr>
        <w:t>. Non-rural eligible HCPs may receive support as part of a consortium consisting of a majority rural HCP sites.</w:t>
      </w:r>
      <w:r w:rsidRPr="00E63CF4">
        <w:rPr>
          <w:rFonts w:ascii="AvenirNext-Regular" w:hAnsi="AvenirNext-Regular" w:cs="AvenirNext-Regular"/>
          <w:sz w:val="20"/>
          <w:szCs w:val="20"/>
        </w:rPr>
        <w:t xml:space="preserve"> In addition, ineligible HCP sites also may participate in a consortium and take advantage of lower contract prices often associated with consortia bulk-buying, but they will not receive universal service funding support.</w:t>
      </w:r>
      <w:r w:rsidR="004A79CD">
        <w:rPr>
          <w:rFonts w:ascii="AvenirNext-Regular" w:hAnsi="AvenirNext-Regular" w:cs="AvenirNext-Regular"/>
          <w:sz w:val="20"/>
          <w:szCs w:val="20"/>
        </w:rPr>
        <w:t xml:space="preserve">  </w:t>
      </w:r>
      <w:r w:rsidRPr="00541C99">
        <w:rPr>
          <w:rFonts w:asciiTheme="majorHAnsi" w:eastAsia="Times New Roman" w:hAnsiTheme="majorHAnsi" w:cstheme="majorBidi"/>
          <w:b/>
          <w:bCs/>
          <w:color w:val="4F81BD" w:themeColor="accent1"/>
        </w:rPr>
        <w:t>The Local Public Health Services Collaborative will serve as this legal entity for Local Health Districts in Ohio.</w:t>
      </w:r>
    </w:p>
    <w:p w:rsidR="008A05B4" w:rsidRPr="00541C99" w:rsidRDefault="008A05B4" w:rsidP="008A05B4">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Application Process</w:t>
      </w:r>
    </w:p>
    <w:p w:rsidR="008A05B4" w:rsidRPr="00E63CF4" w:rsidRDefault="008A05B4" w:rsidP="00541C99">
      <w:pPr>
        <w:shd w:val="clear" w:color="auto" w:fill="FFFFFF"/>
        <w:spacing w:before="115" w:after="115"/>
        <w:rPr>
          <w:rFonts w:ascii="Tahoma" w:eastAsia="Times New Roman" w:hAnsi="Tahoma" w:cs="Tahoma"/>
          <w:sz w:val="20"/>
          <w:szCs w:val="20"/>
        </w:rPr>
      </w:pPr>
      <w:r w:rsidRPr="00E63CF4">
        <w:rPr>
          <w:rFonts w:ascii="Tahoma" w:eastAsia="Times New Roman" w:hAnsi="Tahoma" w:cs="Tahoma"/>
          <w:sz w:val="20"/>
          <w:szCs w:val="20"/>
        </w:rPr>
        <w:t>After organizing the consortium, the application process involves determining the eligibility of the consortium and each HCP member requesting services (competitive bidding), submitting funding requests, coordinating with the service provider(s) to submit invoice(s), and submitting annual reports.</w:t>
      </w:r>
      <w:r w:rsidR="00541C99">
        <w:rPr>
          <w:rFonts w:ascii="Tahoma" w:eastAsia="Times New Roman" w:hAnsi="Tahoma" w:cs="Tahoma"/>
          <w:sz w:val="20"/>
          <w:szCs w:val="20"/>
        </w:rPr>
        <w:t xml:space="preserve">  </w:t>
      </w:r>
      <w:r w:rsidRPr="00E63CF4">
        <w:rPr>
          <w:rFonts w:ascii="Tahoma" w:eastAsia="Times New Roman" w:hAnsi="Tahoma" w:cs="Tahoma"/>
          <w:sz w:val="20"/>
          <w:szCs w:val="20"/>
        </w:rPr>
        <w:t>Members of the applying consortium and the requested services must both be eligible for support. There are two initial criteria a consortium member must meet to be considered eligible:</w:t>
      </w:r>
    </w:p>
    <w:p w:rsidR="008A05B4" w:rsidRPr="00541C99" w:rsidRDefault="008A05B4" w:rsidP="00E63CF4">
      <w:pPr>
        <w:numPr>
          <w:ilvl w:val="0"/>
          <w:numId w:val="1"/>
        </w:numPr>
        <w:shd w:val="clear" w:color="auto" w:fill="FFFFFF"/>
        <w:spacing w:before="75"/>
        <w:ind w:left="825"/>
        <w:rPr>
          <w:rFonts w:ascii="Tahoma" w:eastAsia="Times New Roman" w:hAnsi="Tahoma" w:cs="Tahoma"/>
          <w:sz w:val="18"/>
          <w:szCs w:val="18"/>
        </w:rPr>
      </w:pPr>
      <w:r w:rsidRPr="00541C99">
        <w:rPr>
          <w:rFonts w:ascii="Tahoma" w:eastAsia="Times New Roman" w:hAnsi="Tahoma" w:cs="Tahoma"/>
          <w:sz w:val="18"/>
          <w:szCs w:val="18"/>
        </w:rPr>
        <w:t>The health care provider (HCP) must be a public or nonprofit entity, and</w:t>
      </w:r>
    </w:p>
    <w:p w:rsidR="008A05B4" w:rsidRPr="00541C99" w:rsidRDefault="008A05B4" w:rsidP="00E63CF4">
      <w:pPr>
        <w:numPr>
          <w:ilvl w:val="0"/>
          <w:numId w:val="1"/>
        </w:numPr>
        <w:shd w:val="clear" w:color="auto" w:fill="FFFFFF"/>
        <w:spacing w:before="75"/>
        <w:ind w:left="825"/>
        <w:rPr>
          <w:rFonts w:ascii="Tahoma" w:eastAsia="Times New Roman" w:hAnsi="Tahoma" w:cs="Tahoma"/>
          <w:sz w:val="18"/>
          <w:szCs w:val="18"/>
        </w:rPr>
      </w:pPr>
      <w:r w:rsidRPr="00541C99">
        <w:rPr>
          <w:rFonts w:ascii="Tahoma" w:eastAsia="Times New Roman" w:hAnsi="Tahoma" w:cs="Tahoma"/>
          <w:sz w:val="18"/>
          <w:szCs w:val="18"/>
        </w:rPr>
        <w:t xml:space="preserve">The HCP must be one of </w:t>
      </w:r>
      <w:r w:rsidR="00541C99" w:rsidRPr="00541C99">
        <w:rPr>
          <w:rFonts w:ascii="Tahoma" w:eastAsia="Times New Roman" w:hAnsi="Tahoma" w:cs="Tahoma"/>
          <w:sz w:val="18"/>
          <w:szCs w:val="18"/>
        </w:rPr>
        <w:t xml:space="preserve">the </w:t>
      </w:r>
      <w:r w:rsidR="00913729">
        <w:rPr>
          <w:rFonts w:ascii="Tahoma" w:eastAsia="Times New Roman" w:hAnsi="Tahoma" w:cs="Tahoma"/>
          <w:sz w:val="18"/>
          <w:szCs w:val="18"/>
        </w:rPr>
        <w:t xml:space="preserve">several types of entities, which includes local health departments. </w:t>
      </w:r>
    </w:p>
    <w:p w:rsidR="008A05B4" w:rsidRPr="00541C99" w:rsidRDefault="008A05B4" w:rsidP="00E63CF4">
      <w:pPr>
        <w:shd w:val="clear" w:color="auto" w:fill="FFFFFF"/>
        <w:spacing w:before="150" w:after="150"/>
        <w:rPr>
          <w:rFonts w:ascii="Tahoma" w:eastAsia="Times New Roman" w:hAnsi="Tahoma" w:cs="Tahoma"/>
          <w:sz w:val="18"/>
          <w:szCs w:val="18"/>
        </w:rPr>
      </w:pPr>
      <w:r w:rsidRPr="00541C99">
        <w:rPr>
          <w:rFonts w:ascii="Tahoma" w:eastAsia="Times New Roman" w:hAnsi="Tahoma" w:cs="Tahoma"/>
          <w:sz w:val="18"/>
          <w:szCs w:val="18"/>
        </w:rPr>
        <w:t>In addition, broadband connections associated with off-site data centers and off-site administrative offices that are used by eligible HCPs for their health care purposes are eligible for funding.</w:t>
      </w:r>
    </w:p>
    <w:p w:rsidR="008A05B4" w:rsidRPr="00541C99" w:rsidRDefault="008A05B4"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lastRenderedPageBreak/>
        <w:t>Rurality</w:t>
      </w:r>
    </w:p>
    <w:p w:rsidR="008A05B4" w:rsidRDefault="008A05B4" w:rsidP="00E63CF4">
      <w:pPr>
        <w:shd w:val="clear" w:color="auto" w:fill="FFFFFF"/>
        <w:rPr>
          <w:rFonts w:ascii="Tahoma" w:eastAsia="Times New Roman" w:hAnsi="Tahoma" w:cs="Tahoma"/>
          <w:sz w:val="20"/>
          <w:szCs w:val="20"/>
        </w:rPr>
      </w:pPr>
      <w:r w:rsidRPr="00E63CF4">
        <w:rPr>
          <w:rFonts w:ascii="Tahoma" w:eastAsia="Times New Roman" w:hAnsi="Tahoma" w:cs="Tahoma"/>
          <w:sz w:val="20"/>
          <w:szCs w:val="20"/>
        </w:rPr>
        <w:t xml:space="preserve">Both rural and non-rural entities may receive funding in the Healthcare Connect Fund (HCF) Program as members of a consortium, provided that the consortium is comprised of a majority rural (more than 50 percent) sites within three years of the filing date of its first request for funding (FCC Form 462). Find out if an HCP is located in a rural area by using the Rural Health Care (RHC) Program's </w:t>
      </w:r>
      <w:hyperlink r:id="rId7" w:history="1">
        <w:r w:rsidRPr="00E63CF4">
          <w:rPr>
            <w:rFonts w:ascii="Tahoma" w:eastAsia="Times New Roman" w:hAnsi="Tahoma" w:cs="Tahoma"/>
            <w:sz w:val="20"/>
            <w:szCs w:val="20"/>
            <w:shd w:val="clear" w:color="auto" w:fill="ECF1F4"/>
          </w:rPr>
          <w:t>Eligible Rural Areas Search Tool</w:t>
        </w:r>
      </w:hyperlink>
      <w:r w:rsidRPr="00E63CF4">
        <w:rPr>
          <w:rFonts w:ascii="Tahoma" w:eastAsia="Times New Roman" w:hAnsi="Tahoma" w:cs="Tahoma"/>
          <w:sz w:val="20"/>
          <w:szCs w:val="20"/>
        </w:rPr>
        <w:t>.</w:t>
      </w:r>
    </w:p>
    <w:p w:rsidR="00541C99" w:rsidRPr="00E63CF4" w:rsidRDefault="00541C99" w:rsidP="00E63CF4">
      <w:pPr>
        <w:shd w:val="clear" w:color="auto" w:fill="FFFFFF"/>
        <w:rPr>
          <w:rFonts w:ascii="Tahoma" w:eastAsia="Times New Roman" w:hAnsi="Tahoma" w:cs="Tahoma"/>
          <w:sz w:val="20"/>
          <w:szCs w:val="20"/>
        </w:rPr>
      </w:pPr>
    </w:p>
    <w:p w:rsidR="00541C99" w:rsidRDefault="00541C99" w:rsidP="00541C99">
      <w:pPr>
        <w:autoSpaceDE w:val="0"/>
        <w:autoSpaceDN w:val="0"/>
        <w:adjustRightInd w:val="0"/>
        <w:rPr>
          <w:rFonts w:asciiTheme="majorHAnsi" w:hAnsiTheme="majorHAnsi" w:cs="Times New Roman"/>
          <w:b/>
          <w:bCs/>
          <w:color w:val="1F497D" w:themeColor="text2"/>
          <w:sz w:val="26"/>
          <w:szCs w:val="26"/>
        </w:rPr>
      </w:pPr>
      <w:r>
        <w:rPr>
          <w:rFonts w:asciiTheme="majorHAnsi" w:hAnsiTheme="majorHAnsi" w:cs="Times New Roman"/>
          <w:b/>
          <w:bCs/>
          <w:color w:val="1F497D" w:themeColor="text2"/>
          <w:sz w:val="26"/>
          <w:szCs w:val="26"/>
        </w:rPr>
        <w:t>Two important benefits of joining this program through LPHSC:</w:t>
      </w:r>
    </w:p>
    <w:p w:rsidR="00541C99" w:rsidRPr="00BB621C" w:rsidRDefault="00541C99" w:rsidP="00541C99">
      <w:pPr>
        <w:pStyle w:val="ListParagraph"/>
        <w:numPr>
          <w:ilvl w:val="0"/>
          <w:numId w:val="4"/>
        </w:numPr>
        <w:autoSpaceDE w:val="0"/>
        <w:autoSpaceDN w:val="0"/>
        <w:adjustRightInd w:val="0"/>
        <w:ind w:left="990" w:hanging="450"/>
        <w:rPr>
          <w:rFonts w:asciiTheme="majorHAnsi" w:hAnsiTheme="majorHAnsi" w:cs="Times New Roman"/>
          <w:b/>
          <w:bCs/>
          <w:color w:val="1F497D" w:themeColor="text2"/>
          <w:sz w:val="26"/>
          <w:szCs w:val="26"/>
        </w:rPr>
      </w:pPr>
      <w:r w:rsidRPr="00BB621C">
        <w:rPr>
          <w:rFonts w:ascii="AvenirNext-Regular" w:hAnsi="AvenirNext-Regular" w:cs="AvenirNext-Regular"/>
          <w:sz w:val="20"/>
          <w:szCs w:val="20"/>
        </w:rPr>
        <w:t xml:space="preserve">Non-rural eligible </w:t>
      </w:r>
      <w:r>
        <w:rPr>
          <w:rFonts w:ascii="AvenirNext-Regular" w:hAnsi="AvenirNext-Regular" w:cs="AvenirNext-Regular"/>
          <w:sz w:val="20"/>
          <w:szCs w:val="20"/>
        </w:rPr>
        <w:t>LHDs</w:t>
      </w:r>
      <w:r w:rsidRPr="00BB621C">
        <w:rPr>
          <w:rFonts w:ascii="AvenirNext-Regular" w:hAnsi="AvenirNext-Regular" w:cs="AvenirNext-Regular"/>
          <w:sz w:val="20"/>
          <w:szCs w:val="20"/>
        </w:rPr>
        <w:t xml:space="preserve"> may receive support as part of a consortium consisting of a majority rural </w:t>
      </w:r>
      <w:r>
        <w:rPr>
          <w:rFonts w:ascii="AvenirNext-Regular" w:hAnsi="AvenirNext-Regular" w:cs="AvenirNext-Regular"/>
          <w:sz w:val="20"/>
          <w:szCs w:val="20"/>
        </w:rPr>
        <w:t>LHD</w:t>
      </w:r>
      <w:r w:rsidRPr="00BB621C">
        <w:rPr>
          <w:rFonts w:ascii="AvenirNext-Regular" w:hAnsi="AvenirNext-Regular" w:cs="AvenirNext-Regular"/>
          <w:sz w:val="20"/>
          <w:szCs w:val="20"/>
        </w:rPr>
        <w:t xml:space="preserve"> sites. In addition, ineligible </w:t>
      </w:r>
      <w:r>
        <w:rPr>
          <w:rFonts w:ascii="AvenirNext-Regular" w:hAnsi="AvenirNext-Regular" w:cs="AvenirNext-Regular"/>
          <w:sz w:val="20"/>
          <w:szCs w:val="20"/>
        </w:rPr>
        <w:t>LHD</w:t>
      </w:r>
      <w:r w:rsidRPr="00BB621C">
        <w:rPr>
          <w:rFonts w:ascii="AvenirNext-Regular" w:hAnsi="AvenirNext-Regular" w:cs="AvenirNext-Regular"/>
          <w:sz w:val="20"/>
          <w:szCs w:val="20"/>
        </w:rPr>
        <w:t xml:space="preserve"> sites also may participate in a consortium and take advantage of lower contract prices often associated with consortia bulk-buying</w:t>
      </w:r>
      <w:r>
        <w:rPr>
          <w:rFonts w:ascii="AvenirNext-Regular" w:hAnsi="AvenirNext-Regular" w:cs="AvenirNext-Regular"/>
          <w:sz w:val="20"/>
          <w:szCs w:val="20"/>
        </w:rPr>
        <w:t>.</w:t>
      </w:r>
    </w:p>
    <w:p w:rsidR="00541C99" w:rsidRPr="00BC15F0" w:rsidRDefault="00541C99" w:rsidP="00541C99">
      <w:pPr>
        <w:pStyle w:val="ListParagraph"/>
        <w:numPr>
          <w:ilvl w:val="0"/>
          <w:numId w:val="4"/>
        </w:numPr>
        <w:autoSpaceDE w:val="0"/>
        <w:autoSpaceDN w:val="0"/>
        <w:adjustRightInd w:val="0"/>
        <w:ind w:left="990" w:hanging="450"/>
        <w:rPr>
          <w:rFonts w:asciiTheme="majorHAnsi" w:hAnsiTheme="majorHAnsi" w:cs="Times New Roman"/>
          <w:b/>
          <w:bCs/>
          <w:color w:val="1F497D" w:themeColor="text2"/>
          <w:sz w:val="26"/>
          <w:szCs w:val="26"/>
        </w:rPr>
      </w:pPr>
      <w:r w:rsidRPr="00BB621C">
        <w:rPr>
          <w:rFonts w:ascii="AvenirNext-Regular" w:hAnsi="AvenirNext-Regular" w:cs="AvenirNext-Regular"/>
          <w:sz w:val="20"/>
          <w:szCs w:val="20"/>
        </w:rPr>
        <w:t>If a LHD</w:t>
      </w:r>
      <w:r>
        <w:rPr>
          <w:rFonts w:ascii="AvenirNext-Regular" w:hAnsi="AvenirNext-Regular" w:cs="AvenirNext-Regular"/>
          <w:sz w:val="20"/>
          <w:szCs w:val="20"/>
        </w:rPr>
        <w:t xml:space="preserve"> </w:t>
      </w:r>
      <w:r w:rsidR="00C807C4">
        <w:rPr>
          <w:rFonts w:ascii="AvenirNext-Regular" w:hAnsi="AvenirNext-Regular" w:cs="AvenirNext-Regular"/>
          <w:sz w:val="20"/>
          <w:szCs w:val="20"/>
        </w:rPr>
        <w:t>(</w:t>
      </w:r>
      <w:r>
        <w:rPr>
          <w:rFonts w:ascii="AvenirNext-Regular" w:hAnsi="AvenirNext-Regular" w:cs="AvenirNext-Regular"/>
          <w:sz w:val="20"/>
          <w:szCs w:val="20"/>
        </w:rPr>
        <w:t>that qualifies individually for the program</w:t>
      </w:r>
      <w:r w:rsidR="00C807C4">
        <w:rPr>
          <w:rFonts w:ascii="AvenirNext-Regular" w:hAnsi="AvenirNext-Regular" w:cs="AvenirNext-Regular"/>
          <w:sz w:val="20"/>
          <w:szCs w:val="20"/>
        </w:rPr>
        <w:t>)</w:t>
      </w:r>
      <w:r w:rsidRPr="00BB621C">
        <w:rPr>
          <w:rFonts w:ascii="AvenirNext-Regular" w:hAnsi="AvenirNext-Regular" w:cs="AvenirNext-Regular"/>
          <w:sz w:val="20"/>
          <w:szCs w:val="20"/>
        </w:rPr>
        <w:t xml:space="preserve"> uses a consultant</w:t>
      </w:r>
      <w:r>
        <w:rPr>
          <w:rFonts w:ascii="AvenirNext-Regular" w:hAnsi="AvenirNext-Regular" w:cs="AvenirNext-Regular"/>
          <w:sz w:val="20"/>
          <w:szCs w:val="20"/>
        </w:rPr>
        <w:t xml:space="preserve"> (third party administrator)</w:t>
      </w:r>
      <w:r w:rsidRPr="00BB621C">
        <w:rPr>
          <w:rFonts w:ascii="AvenirNext-Regular" w:hAnsi="AvenirNext-Regular" w:cs="AvenirNext-Regular"/>
          <w:sz w:val="20"/>
          <w:szCs w:val="20"/>
        </w:rPr>
        <w:t xml:space="preserve"> to assist in their participation in the Rural Health Care Program</w:t>
      </w:r>
      <w:r>
        <w:rPr>
          <w:rFonts w:ascii="AvenirNext-Regular" w:hAnsi="AvenirNext-Regular" w:cs="AvenirNext-Regular"/>
          <w:sz w:val="20"/>
          <w:szCs w:val="20"/>
        </w:rPr>
        <w:t xml:space="preserve">, the cost to the LHD will be as much as 23% of their savings.   </w:t>
      </w:r>
    </w:p>
    <w:p w:rsidR="00541C99" w:rsidRPr="00BC15F0" w:rsidRDefault="00541C99" w:rsidP="00541C99">
      <w:pPr>
        <w:autoSpaceDE w:val="0"/>
        <w:autoSpaceDN w:val="0"/>
        <w:adjustRightInd w:val="0"/>
        <w:rPr>
          <w:rFonts w:asciiTheme="majorHAnsi" w:hAnsiTheme="majorHAnsi" w:cs="Times New Roman"/>
          <w:b/>
          <w:bCs/>
          <w:color w:val="1F497D" w:themeColor="text2"/>
          <w:sz w:val="26"/>
          <w:szCs w:val="26"/>
        </w:rPr>
      </w:pPr>
      <w:r>
        <w:rPr>
          <w:rFonts w:ascii="AvenirNext-Regular" w:hAnsi="AvenirNext-Regular" w:cs="AvenirNext-Regular"/>
          <w:sz w:val="20"/>
          <w:szCs w:val="20"/>
        </w:rPr>
        <w:t>By comparison, th</w:t>
      </w:r>
      <w:r w:rsidRPr="00BC15F0">
        <w:rPr>
          <w:rFonts w:ascii="AvenirNext-Regular" w:hAnsi="AvenirNext-Regular" w:cs="AvenirNext-Regular"/>
          <w:sz w:val="20"/>
          <w:szCs w:val="20"/>
        </w:rPr>
        <w:t>e following price structure is proposed for participation through LPHSC:</w:t>
      </w:r>
    </w:p>
    <w:p w:rsidR="00541C99" w:rsidRPr="00BC15F0" w:rsidRDefault="00541C99" w:rsidP="00541C99">
      <w:pPr>
        <w:pStyle w:val="ListParagraph"/>
        <w:numPr>
          <w:ilvl w:val="0"/>
          <w:numId w:val="4"/>
        </w:numPr>
        <w:autoSpaceDE w:val="0"/>
        <w:autoSpaceDN w:val="0"/>
        <w:adjustRightInd w:val="0"/>
        <w:ind w:left="990" w:hanging="450"/>
        <w:rPr>
          <w:rFonts w:asciiTheme="majorHAnsi" w:hAnsiTheme="majorHAnsi" w:cs="Times New Roman"/>
          <w:b/>
          <w:bCs/>
          <w:color w:val="1F497D" w:themeColor="text2"/>
          <w:sz w:val="26"/>
          <w:szCs w:val="26"/>
        </w:rPr>
      </w:pPr>
      <w:r>
        <w:rPr>
          <w:rFonts w:ascii="AvenirNext-Regular" w:hAnsi="AvenirNext-Regular" w:cs="AvenirNext-Regular"/>
          <w:sz w:val="20"/>
          <w:szCs w:val="20"/>
        </w:rPr>
        <w:t>$150 yearly Collaborative participation fee, if LHD is not already a member of LPHSC</w:t>
      </w:r>
    </w:p>
    <w:p w:rsidR="00541C99" w:rsidRPr="00BC15F0" w:rsidRDefault="00541C99" w:rsidP="00541C99">
      <w:pPr>
        <w:pStyle w:val="ListParagraph"/>
        <w:numPr>
          <w:ilvl w:val="0"/>
          <w:numId w:val="4"/>
        </w:numPr>
        <w:autoSpaceDE w:val="0"/>
        <w:autoSpaceDN w:val="0"/>
        <w:adjustRightInd w:val="0"/>
        <w:ind w:left="990" w:hanging="450"/>
        <w:rPr>
          <w:rFonts w:asciiTheme="majorHAnsi" w:hAnsiTheme="majorHAnsi" w:cs="Times New Roman"/>
          <w:b/>
          <w:bCs/>
          <w:color w:val="1F497D" w:themeColor="text2"/>
          <w:sz w:val="26"/>
          <w:szCs w:val="26"/>
        </w:rPr>
      </w:pPr>
      <w:r>
        <w:rPr>
          <w:rFonts w:ascii="AvenirNext-Regular" w:hAnsi="AvenirNext-Regular" w:cs="AvenirNext-Regular"/>
          <w:sz w:val="20"/>
          <w:szCs w:val="20"/>
        </w:rPr>
        <w:t>For</w:t>
      </w:r>
      <w:r w:rsidR="00C807C4">
        <w:rPr>
          <w:rFonts w:ascii="AvenirNext-Regular" w:hAnsi="AvenirNext-Regular" w:cs="AvenirNext-Regular"/>
          <w:sz w:val="20"/>
          <w:szCs w:val="20"/>
        </w:rPr>
        <w:t xml:space="preserve"> LHD that individually qualifies</w:t>
      </w:r>
      <w:r>
        <w:rPr>
          <w:rFonts w:ascii="AvenirNext-Regular" w:hAnsi="AvenirNext-Regular" w:cs="AvenirNext-Regular"/>
          <w:sz w:val="20"/>
          <w:szCs w:val="20"/>
        </w:rPr>
        <w:t xml:space="preserve"> as a rural location:  10% of annual savings</w:t>
      </w:r>
    </w:p>
    <w:p w:rsidR="00541C99" w:rsidRPr="00BC15F0" w:rsidRDefault="00541C99" w:rsidP="00541C99">
      <w:pPr>
        <w:pStyle w:val="ListParagraph"/>
        <w:numPr>
          <w:ilvl w:val="0"/>
          <w:numId w:val="4"/>
        </w:numPr>
        <w:autoSpaceDE w:val="0"/>
        <w:autoSpaceDN w:val="0"/>
        <w:adjustRightInd w:val="0"/>
        <w:ind w:left="990" w:hanging="450"/>
        <w:rPr>
          <w:rFonts w:ascii="AvenirNext-Regular" w:hAnsi="AvenirNext-Regular" w:cs="AvenirNext-Regular"/>
          <w:sz w:val="20"/>
          <w:szCs w:val="20"/>
        </w:rPr>
      </w:pPr>
      <w:r w:rsidRPr="00BC15F0">
        <w:rPr>
          <w:rFonts w:ascii="AvenirNext-Regular" w:hAnsi="AvenirNext-Regular" w:cs="AvenirNext-Regular"/>
          <w:sz w:val="20"/>
          <w:szCs w:val="20"/>
        </w:rPr>
        <w:t>For LHD that individually DO</w:t>
      </w:r>
      <w:r w:rsidR="00C807C4">
        <w:rPr>
          <w:rFonts w:ascii="AvenirNext-Regular" w:hAnsi="AvenirNext-Regular" w:cs="AvenirNext-Regular"/>
          <w:sz w:val="20"/>
          <w:szCs w:val="20"/>
        </w:rPr>
        <w:t>ES</w:t>
      </w:r>
      <w:r w:rsidRPr="00BC15F0">
        <w:rPr>
          <w:rFonts w:ascii="AvenirNext-Regular" w:hAnsi="AvenirNext-Regular" w:cs="AvenirNext-Regular"/>
          <w:sz w:val="20"/>
          <w:szCs w:val="20"/>
        </w:rPr>
        <w:t xml:space="preserve"> NOT qualify as rural:  15% of annual savings</w:t>
      </w:r>
    </w:p>
    <w:p w:rsidR="00541C99" w:rsidRDefault="00541C99" w:rsidP="00541C99">
      <w:pPr>
        <w:autoSpaceDE w:val="0"/>
        <w:autoSpaceDN w:val="0"/>
        <w:adjustRightInd w:val="0"/>
        <w:rPr>
          <w:rFonts w:asciiTheme="majorHAnsi" w:hAnsiTheme="majorHAnsi" w:cs="Times New Roman"/>
          <w:b/>
          <w:bCs/>
          <w:color w:val="1F497D" w:themeColor="text2"/>
          <w:sz w:val="26"/>
          <w:szCs w:val="26"/>
        </w:rPr>
      </w:pPr>
    </w:p>
    <w:p w:rsidR="00541C99" w:rsidRPr="0090090E" w:rsidRDefault="00801B62" w:rsidP="00541C99">
      <w:pPr>
        <w:autoSpaceDE w:val="0"/>
        <w:autoSpaceDN w:val="0"/>
        <w:adjustRightInd w:val="0"/>
        <w:rPr>
          <w:rFonts w:asciiTheme="majorHAnsi" w:hAnsiTheme="majorHAnsi" w:cs="Times New Roman"/>
          <w:b/>
          <w:bCs/>
          <w:color w:val="1F497D" w:themeColor="text2"/>
          <w:sz w:val="26"/>
          <w:szCs w:val="26"/>
        </w:rPr>
      </w:pPr>
      <w:r>
        <w:rPr>
          <w:rFonts w:asciiTheme="majorHAnsi" w:hAnsiTheme="majorHAnsi" w:cs="Times New Roman"/>
          <w:b/>
          <w:bCs/>
          <w:noProof/>
          <w:color w:val="1F497D" w:themeColor="text2"/>
          <w:sz w:val="26"/>
          <w:szCs w:val="26"/>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0</wp:posOffset>
                </wp:positionV>
                <wp:extent cx="5329555" cy="1939925"/>
                <wp:effectExtent l="9525" t="9525" r="13970"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1939925"/>
                        </a:xfrm>
                        <a:prstGeom prst="rect">
                          <a:avLst/>
                        </a:prstGeom>
                        <a:solidFill>
                          <a:srgbClr val="FFFFFF"/>
                        </a:solidFill>
                        <a:ln w="15875">
                          <a:solidFill>
                            <a:srgbClr val="9F945B"/>
                          </a:solidFill>
                          <a:miter lim="800000"/>
                          <a:headEnd/>
                          <a:tailEnd/>
                        </a:ln>
                      </wps:spPr>
                      <wps:txbx>
                        <w:txbxContent>
                          <w:p w:rsidR="005D13A6" w:rsidRPr="00541C99" w:rsidRDefault="005D13A6" w:rsidP="00541C99">
                            <w:pPr>
                              <w:jc w:val="center"/>
                              <w:rPr>
                                <w:b/>
                                <w:color w:val="4F81BD" w:themeColor="accent1"/>
                                <w:sz w:val="20"/>
                                <w:szCs w:val="20"/>
                              </w:rPr>
                            </w:pPr>
                            <w:r w:rsidRPr="00541C99">
                              <w:rPr>
                                <w:b/>
                                <w:color w:val="4F81BD" w:themeColor="accent1"/>
                                <w:sz w:val="20"/>
                                <w:szCs w:val="20"/>
                              </w:rPr>
                              <w:t>For a rural LHD who is currently paying $300 per month ($3600 per year) for internet service</w:t>
                            </w:r>
                          </w:p>
                          <w:p w:rsidR="005D13A6" w:rsidRPr="00541C99" w:rsidRDefault="005D13A6" w:rsidP="00541C99">
                            <w:pPr>
                              <w:jc w:val="center"/>
                              <w:rPr>
                                <w:b/>
                                <w:color w:val="4F81BD" w:themeColor="accent1"/>
                                <w:sz w:val="20"/>
                                <w:szCs w:val="20"/>
                              </w:rPr>
                            </w:pPr>
                            <w:r w:rsidRPr="00541C99">
                              <w:rPr>
                                <w:b/>
                                <w:color w:val="4F81BD" w:themeColor="accent1"/>
                                <w:sz w:val="20"/>
                                <w:szCs w:val="20"/>
                              </w:rPr>
                              <w:t>(65% savings = $2340):</w:t>
                            </w:r>
                          </w:p>
                          <w:p w:rsidR="005D13A6" w:rsidRDefault="005D13A6" w:rsidP="00541C99">
                            <w:pPr>
                              <w:rPr>
                                <w:b/>
                                <w:sz w:val="20"/>
                                <w:szCs w:val="20"/>
                              </w:rPr>
                            </w:pPr>
                            <w:r>
                              <w:rPr>
                                <w:b/>
                                <w:sz w:val="20"/>
                                <w:szCs w:val="20"/>
                              </w:rPr>
                              <w:tab/>
                              <w:t>Through LPHSC:</w:t>
                            </w:r>
                          </w:p>
                          <w:p w:rsidR="005D13A6" w:rsidRDefault="005D13A6" w:rsidP="00541C99">
                            <w:pPr>
                              <w:pStyle w:val="ListParagraph"/>
                              <w:numPr>
                                <w:ilvl w:val="0"/>
                                <w:numId w:val="5"/>
                              </w:numPr>
                              <w:jc w:val="center"/>
                              <w:rPr>
                                <w:b/>
                                <w:sz w:val="20"/>
                                <w:szCs w:val="20"/>
                              </w:rPr>
                            </w:pPr>
                            <w:r>
                              <w:rPr>
                                <w:b/>
                                <w:sz w:val="20"/>
                                <w:szCs w:val="20"/>
                              </w:rPr>
                              <w:t xml:space="preserve">Not a current member of LPHSC, pay participation fee  </w:t>
                            </w:r>
                            <w:r>
                              <w:rPr>
                                <w:b/>
                                <w:sz w:val="20"/>
                                <w:szCs w:val="20"/>
                              </w:rPr>
                              <w:tab/>
                              <w:t>$150</w:t>
                            </w:r>
                          </w:p>
                          <w:p w:rsidR="005D13A6" w:rsidRDefault="005D13A6" w:rsidP="00541C99">
                            <w:pPr>
                              <w:pStyle w:val="ListParagraph"/>
                              <w:numPr>
                                <w:ilvl w:val="0"/>
                                <w:numId w:val="5"/>
                              </w:numPr>
                              <w:jc w:val="center"/>
                              <w:rPr>
                                <w:b/>
                                <w:sz w:val="20"/>
                                <w:szCs w:val="20"/>
                              </w:rPr>
                            </w:pPr>
                            <w:r>
                              <w:rPr>
                                <w:b/>
                                <w:sz w:val="20"/>
                                <w:szCs w:val="20"/>
                              </w:rPr>
                              <w:t xml:space="preserve">Pay 10% of annual savings  </w:t>
                            </w:r>
                            <w:r>
                              <w:rPr>
                                <w:b/>
                                <w:sz w:val="20"/>
                                <w:szCs w:val="20"/>
                              </w:rPr>
                              <w:tab/>
                            </w:r>
                            <w:r>
                              <w:rPr>
                                <w:b/>
                                <w:sz w:val="20"/>
                                <w:szCs w:val="20"/>
                              </w:rPr>
                              <w:tab/>
                            </w:r>
                            <w:r>
                              <w:rPr>
                                <w:b/>
                                <w:sz w:val="20"/>
                                <w:szCs w:val="20"/>
                              </w:rPr>
                              <w:tab/>
                            </w:r>
                            <w:r>
                              <w:rPr>
                                <w:b/>
                                <w:sz w:val="20"/>
                                <w:szCs w:val="20"/>
                              </w:rPr>
                              <w:tab/>
                              <w:t>$234</w:t>
                            </w:r>
                          </w:p>
                          <w:p w:rsidR="005D13A6" w:rsidRDefault="005D13A6" w:rsidP="00541C99">
                            <w:pPr>
                              <w:pStyle w:val="ListParagraph"/>
                              <w:numPr>
                                <w:ilvl w:val="0"/>
                                <w:numId w:val="5"/>
                              </w:numPr>
                              <w:ind w:right="617"/>
                              <w:jc w:val="right"/>
                              <w:rPr>
                                <w:b/>
                                <w:sz w:val="20"/>
                                <w:szCs w:val="20"/>
                              </w:rPr>
                            </w:pPr>
                            <w:r>
                              <w:rPr>
                                <w:b/>
                                <w:sz w:val="20"/>
                                <w:szCs w:val="20"/>
                              </w:rPr>
                              <w:t>TOTAL COST</w:t>
                            </w:r>
                            <w:r>
                              <w:rPr>
                                <w:b/>
                                <w:sz w:val="20"/>
                                <w:szCs w:val="20"/>
                              </w:rPr>
                              <w:tab/>
                              <w:t>$384</w:t>
                            </w:r>
                          </w:p>
                          <w:p w:rsidR="005D13A6" w:rsidRDefault="005D13A6" w:rsidP="00541C99">
                            <w:pPr>
                              <w:pStyle w:val="ListParagraph"/>
                              <w:numPr>
                                <w:ilvl w:val="0"/>
                                <w:numId w:val="5"/>
                              </w:numPr>
                              <w:ind w:right="617"/>
                              <w:jc w:val="right"/>
                              <w:rPr>
                                <w:b/>
                                <w:sz w:val="20"/>
                                <w:szCs w:val="20"/>
                              </w:rPr>
                            </w:pPr>
                            <w:r>
                              <w:rPr>
                                <w:b/>
                                <w:sz w:val="20"/>
                                <w:szCs w:val="20"/>
                              </w:rPr>
                              <w:t>NET SAVINGS    $1956</w:t>
                            </w:r>
                          </w:p>
                          <w:p w:rsidR="005D13A6" w:rsidRDefault="00801B62" w:rsidP="00541C99">
                            <w:pPr>
                              <w:pStyle w:val="ListParagraph"/>
                              <w:ind w:left="1446" w:right="617" w:hanging="726"/>
                              <w:rPr>
                                <w:b/>
                                <w:sz w:val="20"/>
                                <w:szCs w:val="20"/>
                              </w:rPr>
                            </w:pPr>
                            <w:proofErr w:type="gramStart"/>
                            <w:r>
                              <w:rPr>
                                <w:b/>
                                <w:sz w:val="20"/>
                                <w:szCs w:val="20"/>
                              </w:rPr>
                              <w:t>vs</w:t>
                            </w:r>
                            <w:proofErr w:type="gramEnd"/>
                            <w:r>
                              <w:rPr>
                                <w:b/>
                                <w:sz w:val="20"/>
                                <w:szCs w:val="20"/>
                              </w:rPr>
                              <w:t>.</w:t>
                            </w:r>
                            <w:r w:rsidR="005D13A6">
                              <w:rPr>
                                <w:b/>
                                <w:sz w:val="20"/>
                                <w:szCs w:val="20"/>
                              </w:rPr>
                              <w:t xml:space="preserve">  Using a third party administrator:</w:t>
                            </w:r>
                          </w:p>
                          <w:p w:rsidR="005D13A6" w:rsidRDefault="005D13A6" w:rsidP="00541C99">
                            <w:pPr>
                              <w:pStyle w:val="ListParagraph"/>
                              <w:numPr>
                                <w:ilvl w:val="0"/>
                                <w:numId w:val="6"/>
                              </w:numPr>
                              <w:ind w:right="617" w:firstLine="348"/>
                              <w:jc w:val="right"/>
                              <w:rPr>
                                <w:b/>
                                <w:sz w:val="20"/>
                                <w:szCs w:val="20"/>
                              </w:rPr>
                            </w:pPr>
                            <w:r>
                              <w:rPr>
                                <w:b/>
                                <w:sz w:val="20"/>
                                <w:szCs w:val="20"/>
                              </w:rPr>
                              <w:t>Annual service charge to TPA of 23%         $538</w:t>
                            </w:r>
                          </w:p>
                          <w:p w:rsidR="005D13A6" w:rsidRDefault="005D13A6" w:rsidP="00541C99">
                            <w:pPr>
                              <w:pStyle w:val="ListParagraph"/>
                              <w:numPr>
                                <w:ilvl w:val="0"/>
                                <w:numId w:val="6"/>
                              </w:numPr>
                              <w:ind w:right="617"/>
                              <w:jc w:val="right"/>
                              <w:rPr>
                                <w:b/>
                                <w:sz w:val="20"/>
                                <w:szCs w:val="20"/>
                              </w:rPr>
                            </w:pPr>
                            <w:r>
                              <w:rPr>
                                <w:b/>
                                <w:sz w:val="20"/>
                                <w:szCs w:val="20"/>
                              </w:rPr>
                              <w:t>NET SAVINGS    $1802</w:t>
                            </w:r>
                          </w:p>
                          <w:p w:rsidR="005D13A6" w:rsidRDefault="005D13A6" w:rsidP="00541C99">
                            <w:pPr>
                              <w:pStyle w:val="ListParagraph"/>
                              <w:ind w:left="3240" w:right="617"/>
                              <w:jc w:val="cen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5D13A6" w:rsidRPr="00BC15F0" w:rsidRDefault="005D13A6" w:rsidP="00541C99">
                            <w:pPr>
                              <w:pStyle w:val="ListParagraph"/>
                              <w:ind w:left="1446" w:right="617"/>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0;margin-top:0;width:419.65pt;height:152.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" strokecolor="#9f945b" strokeweight="1.25pt">
                <v:textbox>
                  <w:txbxContent>
                    <w:p w:rsidR="005D13A6" w:rsidRPr="00541C99" w:rsidRDefault="005D13A6" w:rsidP="00541C99">
                      <w:pPr>
                        <w:jc w:val="center"/>
                        <w:rPr>
                          <w:b/>
                          <w:color w:val="4F81BD" w:themeColor="accent1"/>
                          <w:sz w:val="20"/>
                          <w:szCs w:val="20"/>
                        </w:rPr>
                      </w:pPr>
                      <w:r w:rsidRPr="00541C99">
                        <w:rPr>
                          <w:b/>
                          <w:color w:val="4F81BD" w:themeColor="accent1"/>
                          <w:sz w:val="20"/>
                          <w:szCs w:val="20"/>
                        </w:rPr>
                        <w:t>For a rural LHD who is currently paying $300 per month ($3600 per year) for internet service</w:t>
                      </w:r>
                    </w:p>
                    <w:p w:rsidR="005D13A6" w:rsidRPr="00541C99" w:rsidRDefault="005D13A6" w:rsidP="00541C99">
                      <w:pPr>
                        <w:jc w:val="center"/>
                        <w:rPr>
                          <w:b/>
                          <w:color w:val="4F81BD" w:themeColor="accent1"/>
                          <w:sz w:val="20"/>
                          <w:szCs w:val="20"/>
                        </w:rPr>
                      </w:pPr>
                      <w:r w:rsidRPr="00541C99">
                        <w:rPr>
                          <w:b/>
                          <w:color w:val="4F81BD" w:themeColor="accent1"/>
                          <w:sz w:val="20"/>
                          <w:szCs w:val="20"/>
                        </w:rPr>
                        <w:t>(65% savings = $2340):</w:t>
                      </w:r>
                    </w:p>
                    <w:p w:rsidR="005D13A6" w:rsidRDefault="005D13A6" w:rsidP="00541C99">
                      <w:pPr>
                        <w:rPr>
                          <w:b/>
                          <w:sz w:val="20"/>
                          <w:szCs w:val="20"/>
                        </w:rPr>
                      </w:pPr>
                      <w:r>
                        <w:rPr>
                          <w:b/>
                          <w:sz w:val="20"/>
                          <w:szCs w:val="20"/>
                        </w:rPr>
                        <w:tab/>
                        <w:t>Through LPHSC:</w:t>
                      </w:r>
                    </w:p>
                    <w:p w:rsidR="005D13A6" w:rsidRDefault="005D13A6" w:rsidP="00541C99">
                      <w:pPr>
                        <w:pStyle w:val="ListParagraph"/>
                        <w:numPr>
                          <w:ilvl w:val="0"/>
                          <w:numId w:val="5"/>
                        </w:numPr>
                        <w:jc w:val="center"/>
                        <w:rPr>
                          <w:b/>
                          <w:sz w:val="20"/>
                          <w:szCs w:val="20"/>
                        </w:rPr>
                      </w:pPr>
                      <w:r>
                        <w:rPr>
                          <w:b/>
                          <w:sz w:val="20"/>
                          <w:szCs w:val="20"/>
                        </w:rPr>
                        <w:t xml:space="preserve">Not a current member of LPHSC, pay participation fee  </w:t>
                      </w:r>
                      <w:r>
                        <w:rPr>
                          <w:b/>
                          <w:sz w:val="20"/>
                          <w:szCs w:val="20"/>
                        </w:rPr>
                        <w:tab/>
                        <w:t>$150</w:t>
                      </w:r>
                    </w:p>
                    <w:p w:rsidR="005D13A6" w:rsidRDefault="005D13A6" w:rsidP="00541C99">
                      <w:pPr>
                        <w:pStyle w:val="ListParagraph"/>
                        <w:numPr>
                          <w:ilvl w:val="0"/>
                          <w:numId w:val="5"/>
                        </w:numPr>
                        <w:jc w:val="center"/>
                        <w:rPr>
                          <w:b/>
                          <w:sz w:val="20"/>
                          <w:szCs w:val="20"/>
                        </w:rPr>
                      </w:pPr>
                      <w:r>
                        <w:rPr>
                          <w:b/>
                          <w:sz w:val="20"/>
                          <w:szCs w:val="20"/>
                        </w:rPr>
                        <w:t xml:space="preserve">Pay 10% of annual savings  </w:t>
                      </w:r>
                      <w:r>
                        <w:rPr>
                          <w:b/>
                          <w:sz w:val="20"/>
                          <w:szCs w:val="20"/>
                        </w:rPr>
                        <w:tab/>
                      </w:r>
                      <w:r>
                        <w:rPr>
                          <w:b/>
                          <w:sz w:val="20"/>
                          <w:szCs w:val="20"/>
                        </w:rPr>
                        <w:tab/>
                      </w:r>
                      <w:r>
                        <w:rPr>
                          <w:b/>
                          <w:sz w:val="20"/>
                          <w:szCs w:val="20"/>
                        </w:rPr>
                        <w:tab/>
                      </w:r>
                      <w:r>
                        <w:rPr>
                          <w:b/>
                          <w:sz w:val="20"/>
                          <w:szCs w:val="20"/>
                        </w:rPr>
                        <w:tab/>
                        <w:t>$234</w:t>
                      </w:r>
                    </w:p>
                    <w:p w:rsidR="005D13A6" w:rsidRDefault="005D13A6" w:rsidP="00541C99">
                      <w:pPr>
                        <w:pStyle w:val="ListParagraph"/>
                        <w:numPr>
                          <w:ilvl w:val="0"/>
                          <w:numId w:val="5"/>
                        </w:numPr>
                        <w:ind w:right="617"/>
                        <w:jc w:val="right"/>
                        <w:rPr>
                          <w:b/>
                          <w:sz w:val="20"/>
                          <w:szCs w:val="20"/>
                        </w:rPr>
                      </w:pPr>
                      <w:r>
                        <w:rPr>
                          <w:b/>
                          <w:sz w:val="20"/>
                          <w:szCs w:val="20"/>
                        </w:rPr>
                        <w:t>TOTAL COST</w:t>
                      </w:r>
                      <w:r>
                        <w:rPr>
                          <w:b/>
                          <w:sz w:val="20"/>
                          <w:szCs w:val="20"/>
                        </w:rPr>
                        <w:tab/>
                        <w:t>$384</w:t>
                      </w:r>
                    </w:p>
                    <w:p w:rsidR="005D13A6" w:rsidRDefault="005D13A6" w:rsidP="00541C99">
                      <w:pPr>
                        <w:pStyle w:val="ListParagraph"/>
                        <w:numPr>
                          <w:ilvl w:val="0"/>
                          <w:numId w:val="5"/>
                        </w:numPr>
                        <w:ind w:right="617"/>
                        <w:jc w:val="right"/>
                        <w:rPr>
                          <w:b/>
                          <w:sz w:val="20"/>
                          <w:szCs w:val="20"/>
                        </w:rPr>
                      </w:pPr>
                      <w:r>
                        <w:rPr>
                          <w:b/>
                          <w:sz w:val="20"/>
                          <w:szCs w:val="20"/>
                        </w:rPr>
                        <w:t>NET SAVINGS    $1956</w:t>
                      </w:r>
                    </w:p>
                    <w:p w:rsidR="005D13A6" w:rsidRDefault="00801B62" w:rsidP="00541C99">
                      <w:pPr>
                        <w:pStyle w:val="ListParagraph"/>
                        <w:ind w:left="1446" w:right="617" w:hanging="726"/>
                        <w:rPr>
                          <w:b/>
                          <w:sz w:val="20"/>
                          <w:szCs w:val="20"/>
                        </w:rPr>
                      </w:pPr>
                      <w:proofErr w:type="gramStart"/>
                      <w:r>
                        <w:rPr>
                          <w:b/>
                          <w:sz w:val="20"/>
                          <w:szCs w:val="20"/>
                        </w:rPr>
                        <w:t>vs</w:t>
                      </w:r>
                      <w:proofErr w:type="gramEnd"/>
                      <w:r>
                        <w:rPr>
                          <w:b/>
                          <w:sz w:val="20"/>
                          <w:szCs w:val="20"/>
                        </w:rPr>
                        <w:t>.</w:t>
                      </w:r>
                      <w:r w:rsidR="005D13A6">
                        <w:rPr>
                          <w:b/>
                          <w:sz w:val="20"/>
                          <w:szCs w:val="20"/>
                        </w:rPr>
                        <w:t xml:space="preserve">  Using a third party administrator:</w:t>
                      </w:r>
                    </w:p>
                    <w:p w:rsidR="005D13A6" w:rsidRDefault="005D13A6" w:rsidP="00541C99">
                      <w:pPr>
                        <w:pStyle w:val="ListParagraph"/>
                        <w:numPr>
                          <w:ilvl w:val="0"/>
                          <w:numId w:val="6"/>
                        </w:numPr>
                        <w:ind w:right="617" w:firstLine="348"/>
                        <w:jc w:val="right"/>
                        <w:rPr>
                          <w:b/>
                          <w:sz w:val="20"/>
                          <w:szCs w:val="20"/>
                        </w:rPr>
                      </w:pPr>
                      <w:r>
                        <w:rPr>
                          <w:b/>
                          <w:sz w:val="20"/>
                          <w:szCs w:val="20"/>
                        </w:rPr>
                        <w:t>Annual service charge to TPA of 23%         $538</w:t>
                      </w:r>
                    </w:p>
                    <w:p w:rsidR="005D13A6" w:rsidRDefault="005D13A6" w:rsidP="00541C99">
                      <w:pPr>
                        <w:pStyle w:val="ListParagraph"/>
                        <w:numPr>
                          <w:ilvl w:val="0"/>
                          <w:numId w:val="6"/>
                        </w:numPr>
                        <w:ind w:right="617"/>
                        <w:jc w:val="right"/>
                        <w:rPr>
                          <w:b/>
                          <w:sz w:val="20"/>
                          <w:szCs w:val="20"/>
                        </w:rPr>
                      </w:pPr>
                      <w:r>
                        <w:rPr>
                          <w:b/>
                          <w:sz w:val="20"/>
                          <w:szCs w:val="20"/>
                        </w:rPr>
                        <w:t>NET SAVINGS    $1802</w:t>
                      </w:r>
                    </w:p>
                    <w:p w:rsidR="005D13A6" w:rsidRDefault="005D13A6" w:rsidP="00541C99">
                      <w:pPr>
                        <w:pStyle w:val="ListParagraph"/>
                        <w:ind w:left="3240" w:right="617"/>
                        <w:jc w:val="cen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5D13A6" w:rsidRPr="00BC15F0" w:rsidRDefault="005D13A6" w:rsidP="00541C99">
                      <w:pPr>
                        <w:pStyle w:val="ListParagraph"/>
                        <w:ind w:left="1446" w:right="617"/>
                        <w:rPr>
                          <w:b/>
                          <w:sz w:val="20"/>
                          <w:szCs w:val="20"/>
                        </w:rPr>
                      </w:pPr>
                    </w:p>
                  </w:txbxContent>
                </v:textbox>
              </v:shape>
            </w:pict>
          </mc:Fallback>
        </mc:AlternateContent>
      </w: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801B62" w:rsidP="00541C99">
      <w:pPr>
        <w:autoSpaceDE w:val="0"/>
        <w:autoSpaceDN w:val="0"/>
        <w:adjustRightInd w:val="0"/>
        <w:rPr>
          <w:rFonts w:ascii="AvenirNext-DemiBold" w:hAnsi="AvenirNext-DemiBold" w:cs="AvenirNext-DemiBold"/>
          <w:b/>
          <w:bCs/>
          <w:color w:val="FFC50C"/>
          <w:sz w:val="26"/>
          <w:szCs w:val="26"/>
        </w:rPr>
      </w:pPr>
      <w:r>
        <w:rPr>
          <w:rFonts w:asciiTheme="majorHAnsi" w:hAnsiTheme="majorHAnsi" w:cs="Times New Roman"/>
          <w:b/>
          <w:bCs/>
          <w:noProof/>
          <w:color w:val="1F497D" w:themeColor="text2"/>
          <w:sz w:val="26"/>
          <w:szCs w:val="26"/>
        </w:rPr>
        <mc:AlternateContent>
          <mc:Choice Requires="wps">
            <w:drawing>
              <wp:anchor distT="0" distB="0" distL="114300" distR="114300" simplePos="0" relativeHeight="251657728" behindDoc="0" locked="0" layoutInCell="1" allowOverlap="1">
                <wp:simplePos x="0" y="0"/>
                <wp:positionH relativeFrom="column">
                  <wp:posOffset>307340</wp:posOffset>
                </wp:positionH>
                <wp:positionV relativeFrom="paragraph">
                  <wp:posOffset>73025</wp:posOffset>
                </wp:positionV>
                <wp:extent cx="5329555" cy="1742440"/>
                <wp:effectExtent l="12065" t="15875" r="11430"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1742440"/>
                        </a:xfrm>
                        <a:prstGeom prst="rect">
                          <a:avLst/>
                        </a:prstGeom>
                        <a:solidFill>
                          <a:srgbClr val="FFFFFF"/>
                        </a:solidFill>
                        <a:ln w="15875">
                          <a:solidFill>
                            <a:srgbClr val="A78B25"/>
                          </a:solidFill>
                          <a:miter lim="800000"/>
                          <a:headEnd/>
                          <a:tailEnd/>
                        </a:ln>
                      </wps:spPr>
                      <wps:txbx>
                        <w:txbxContent>
                          <w:p w:rsidR="005D13A6" w:rsidRPr="00541C99" w:rsidRDefault="005D13A6" w:rsidP="00541C99">
                            <w:pPr>
                              <w:jc w:val="center"/>
                              <w:rPr>
                                <w:b/>
                                <w:color w:val="4F81BD" w:themeColor="accent1"/>
                                <w:sz w:val="20"/>
                                <w:szCs w:val="20"/>
                              </w:rPr>
                            </w:pPr>
                            <w:r w:rsidRPr="00541C99">
                              <w:rPr>
                                <w:b/>
                                <w:color w:val="4F81BD" w:themeColor="accent1"/>
                                <w:sz w:val="20"/>
                                <w:szCs w:val="20"/>
                              </w:rPr>
                              <w:t>For a non-rural LHD who is currently paying $600 per month ($5000 per year) for internet service</w:t>
                            </w:r>
                          </w:p>
                          <w:p w:rsidR="005D13A6" w:rsidRPr="00541C99" w:rsidRDefault="005D13A6" w:rsidP="00541C99">
                            <w:pPr>
                              <w:jc w:val="center"/>
                              <w:rPr>
                                <w:b/>
                                <w:color w:val="4F81BD" w:themeColor="accent1"/>
                                <w:sz w:val="20"/>
                                <w:szCs w:val="20"/>
                              </w:rPr>
                            </w:pPr>
                            <w:r w:rsidRPr="00541C99">
                              <w:rPr>
                                <w:b/>
                                <w:color w:val="4F81BD" w:themeColor="accent1"/>
                                <w:sz w:val="20"/>
                                <w:szCs w:val="20"/>
                              </w:rPr>
                              <w:t>(65% savings = $3250):</w:t>
                            </w:r>
                          </w:p>
                          <w:p w:rsidR="005D13A6" w:rsidRDefault="005D13A6" w:rsidP="00541C99">
                            <w:pPr>
                              <w:pStyle w:val="ListParagraph"/>
                              <w:numPr>
                                <w:ilvl w:val="0"/>
                                <w:numId w:val="5"/>
                              </w:numPr>
                              <w:ind w:hanging="366"/>
                              <w:jc w:val="center"/>
                              <w:rPr>
                                <w:b/>
                                <w:sz w:val="20"/>
                                <w:szCs w:val="20"/>
                              </w:rPr>
                            </w:pPr>
                            <w:r>
                              <w:rPr>
                                <w:b/>
                                <w:sz w:val="20"/>
                                <w:szCs w:val="20"/>
                              </w:rPr>
                              <w:t xml:space="preserve">Not a current member of LPHSC, pay participation fee  </w:t>
                            </w:r>
                            <w:r>
                              <w:rPr>
                                <w:b/>
                                <w:sz w:val="20"/>
                                <w:szCs w:val="20"/>
                              </w:rPr>
                              <w:tab/>
                              <w:t>$150</w:t>
                            </w:r>
                          </w:p>
                          <w:p w:rsidR="005D13A6" w:rsidRDefault="005D13A6" w:rsidP="00541C99">
                            <w:pPr>
                              <w:pStyle w:val="ListParagraph"/>
                              <w:numPr>
                                <w:ilvl w:val="0"/>
                                <w:numId w:val="5"/>
                              </w:numPr>
                              <w:ind w:right="257" w:hanging="186"/>
                              <w:jc w:val="center"/>
                              <w:rPr>
                                <w:b/>
                                <w:sz w:val="20"/>
                                <w:szCs w:val="20"/>
                              </w:rPr>
                            </w:pPr>
                            <w:r>
                              <w:rPr>
                                <w:b/>
                                <w:sz w:val="20"/>
                                <w:szCs w:val="20"/>
                              </w:rPr>
                              <w:t xml:space="preserve">Pay 15% of annual savings  </w:t>
                            </w:r>
                            <w:r>
                              <w:rPr>
                                <w:b/>
                                <w:sz w:val="20"/>
                                <w:szCs w:val="20"/>
                              </w:rPr>
                              <w:tab/>
                            </w:r>
                            <w:r>
                              <w:rPr>
                                <w:b/>
                                <w:sz w:val="20"/>
                                <w:szCs w:val="20"/>
                              </w:rPr>
                              <w:tab/>
                            </w:r>
                            <w:r>
                              <w:rPr>
                                <w:b/>
                                <w:sz w:val="20"/>
                                <w:szCs w:val="20"/>
                              </w:rPr>
                              <w:tab/>
                            </w:r>
                            <w:r>
                              <w:rPr>
                                <w:b/>
                                <w:sz w:val="20"/>
                                <w:szCs w:val="20"/>
                              </w:rPr>
                              <w:tab/>
                              <w:t>$487.50</w:t>
                            </w:r>
                          </w:p>
                          <w:p w:rsidR="005D13A6" w:rsidRDefault="005D13A6" w:rsidP="00541C99">
                            <w:pPr>
                              <w:pStyle w:val="ListParagraph"/>
                              <w:numPr>
                                <w:ilvl w:val="0"/>
                                <w:numId w:val="5"/>
                              </w:numPr>
                              <w:ind w:right="617"/>
                              <w:jc w:val="right"/>
                              <w:rPr>
                                <w:b/>
                                <w:sz w:val="20"/>
                                <w:szCs w:val="20"/>
                              </w:rPr>
                            </w:pPr>
                            <w:r>
                              <w:rPr>
                                <w:b/>
                                <w:sz w:val="20"/>
                                <w:szCs w:val="20"/>
                              </w:rPr>
                              <w:t xml:space="preserve">     TOTAL COST</w:t>
                            </w:r>
                            <w:r>
                              <w:rPr>
                                <w:b/>
                                <w:sz w:val="20"/>
                                <w:szCs w:val="20"/>
                              </w:rPr>
                              <w:tab/>
                              <w:t xml:space="preserve">   $637.50</w:t>
                            </w:r>
                          </w:p>
                          <w:p w:rsidR="005D13A6" w:rsidRDefault="005D13A6" w:rsidP="00541C99">
                            <w:pPr>
                              <w:pStyle w:val="ListParagraph"/>
                              <w:numPr>
                                <w:ilvl w:val="0"/>
                                <w:numId w:val="5"/>
                              </w:numPr>
                              <w:ind w:right="617"/>
                              <w:jc w:val="right"/>
                              <w:rPr>
                                <w:b/>
                                <w:sz w:val="20"/>
                                <w:szCs w:val="20"/>
                              </w:rPr>
                            </w:pPr>
                            <w:r>
                              <w:rPr>
                                <w:b/>
                                <w:sz w:val="20"/>
                                <w:szCs w:val="20"/>
                              </w:rPr>
                              <w:t>NET SAVINGS    $2612.50</w:t>
                            </w:r>
                          </w:p>
                          <w:p w:rsidR="005D13A6" w:rsidRDefault="00DC025D" w:rsidP="00541C99">
                            <w:pPr>
                              <w:pStyle w:val="ListParagraph"/>
                              <w:ind w:left="1446" w:right="617" w:hanging="1266"/>
                              <w:rPr>
                                <w:b/>
                                <w:sz w:val="20"/>
                                <w:szCs w:val="20"/>
                              </w:rPr>
                            </w:pPr>
                            <w:r>
                              <w:rPr>
                                <w:b/>
                                <w:sz w:val="20"/>
                                <w:szCs w:val="20"/>
                              </w:rPr>
                              <w:t>vs.</w:t>
                            </w:r>
                            <w:r w:rsidR="005D13A6">
                              <w:rPr>
                                <w:b/>
                                <w:sz w:val="20"/>
                                <w:szCs w:val="20"/>
                              </w:rPr>
                              <w:t xml:space="preserve">  Applying as an individual LHD:</w:t>
                            </w:r>
                          </w:p>
                          <w:p w:rsidR="005D13A6" w:rsidRPr="002B1CF4" w:rsidRDefault="005D13A6" w:rsidP="00541C99">
                            <w:pPr>
                              <w:ind w:left="720" w:right="617" w:firstLine="720"/>
                              <w:rPr>
                                <w:b/>
                                <w:color w:val="FF0000"/>
                                <w:sz w:val="20"/>
                                <w:szCs w:val="20"/>
                              </w:rPr>
                            </w:pPr>
                            <w:r w:rsidRPr="001F483F">
                              <w:rPr>
                                <w:b/>
                                <w:sz w:val="20"/>
                                <w:szCs w:val="20"/>
                              </w:rPr>
                              <w:t xml:space="preserve">NOT ELIGIBLE for the program  </w:t>
                            </w:r>
                            <w:r>
                              <w:rPr>
                                <w:b/>
                                <w:sz w:val="20"/>
                                <w:szCs w:val="20"/>
                              </w:rPr>
                              <w:tab/>
                            </w:r>
                            <w:r>
                              <w:rPr>
                                <w:b/>
                                <w:sz w:val="20"/>
                                <w:szCs w:val="20"/>
                              </w:rPr>
                              <w:tab/>
                            </w:r>
                            <w:r>
                              <w:rPr>
                                <w:b/>
                                <w:sz w:val="20"/>
                                <w:szCs w:val="20"/>
                              </w:rPr>
                              <w:tab/>
                            </w:r>
                            <w:r w:rsidRPr="002B1CF4">
                              <w:rPr>
                                <w:b/>
                                <w:color w:val="FF0000"/>
                                <w:sz w:val="20"/>
                                <w:szCs w:val="20"/>
                              </w:rPr>
                              <w:t>NET SAVINGS   ZERO</w:t>
                            </w:r>
                          </w:p>
                          <w:p w:rsidR="005D13A6" w:rsidRDefault="005D13A6" w:rsidP="00541C99">
                            <w:pPr>
                              <w:pStyle w:val="ListParagraph"/>
                              <w:ind w:left="3240" w:right="617"/>
                              <w:jc w:val="cen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5D13A6" w:rsidRPr="00BC15F0" w:rsidRDefault="005D13A6" w:rsidP="00541C99">
                            <w:pPr>
                              <w:pStyle w:val="ListParagraph"/>
                              <w:ind w:left="1446" w:right="617"/>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4.2pt;margin-top:5.75pt;width:419.65pt;height:1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" strokecolor="#a78b25" strokeweight="1.25pt">
                <v:textbox>
                  <w:txbxContent>
                    <w:p w:rsidR="005D13A6" w:rsidRPr="00541C99" w:rsidRDefault="005D13A6" w:rsidP="00541C99">
                      <w:pPr>
                        <w:jc w:val="center"/>
                        <w:rPr>
                          <w:b/>
                          <w:color w:val="4F81BD" w:themeColor="accent1"/>
                          <w:sz w:val="20"/>
                          <w:szCs w:val="20"/>
                        </w:rPr>
                      </w:pPr>
                      <w:r w:rsidRPr="00541C99">
                        <w:rPr>
                          <w:b/>
                          <w:color w:val="4F81BD" w:themeColor="accent1"/>
                          <w:sz w:val="20"/>
                          <w:szCs w:val="20"/>
                        </w:rPr>
                        <w:t>For a non-rural LHD who is currently paying $600 per month ($5000 per year) for internet service</w:t>
                      </w:r>
                    </w:p>
                    <w:p w:rsidR="005D13A6" w:rsidRPr="00541C99" w:rsidRDefault="005D13A6" w:rsidP="00541C99">
                      <w:pPr>
                        <w:jc w:val="center"/>
                        <w:rPr>
                          <w:b/>
                          <w:color w:val="4F81BD" w:themeColor="accent1"/>
                          <w:sz w:val="20"/>
                          <w:szCs w:val="20"/>
                        </w:rPr>
                      </w:pPr>
                      <w:r w:rsidRPr="00541C99">
                        <w:rPr>
                          <w:b/>
                          <w:color w:val="4F81BD" w:themeColor="accent1"/>
                          <w:sz w:val="20"/>
                          <w:szCs w:val="20"/>
                        </w:rPr>
                        <w:t>(65% savings = $3250):</w:t>
                      </w:r>
                    </w:p>
                    <w:p w:rsidR="005D13A6" w:rsidRDefault="005D13A6" w:rsidP="00541C99">
                      <w:pPr>
                        <w:pStyle w:val="ListParagraph"/>
                        <w:numPr>
                          <w:ilvl w:val="0"/>
                          <w:numId w:val="5"/>
                        </w:numPr>
                        <w:ind w:hanging="366"/>
                        <w:jc w:val="center"/>
                        <w:rPr>
                          <w:b/>
                          <w:sz w:val="20"/>
                          <w:szCs w:val="20"/>
                        </w:rPr>
                      </w:pPr>
                      <w:r>
                        <w:rPr>
                          <w:b/>
                          <w:sz w:val="20"/>
                          <w:szCs w:val="20"/>
                        </w:rPr>
                        <w:t xml:space="preserve">Not a current member of LPHSC, pay participation fee  </w:t>
                      </w:r>
                      <w:r>
                        <w:rPr>
                          <w:b/>
                          <w:sz w:val="20"/>
                          <w:szCs w:val="20"/>
                        </w:rPr>
                        <w:tab/>
                        <w:t>$150</w:t>
                      </w:r>
                    </w:p>
                    <w:p w:rsidR="005D13A6" w:rsidRDefault="005D13A6" w:rsidP="00541C99">
                      <w:pPr>
                        <w:pStyle w:val="ListParagraph"/>
                        <w:numPr>
                          <w:ilvl w:val="0"/>
                          <w:numId w:val="5"/>
                        </w:numPr>
                        <w:ind w:right="257" w:hanging="186"/>
                        <w:jc w:val="center"/>
                        <w:rPr>
                          <w:b/>
                          <w:sz w:val="20"/>
                          <w:szCs w:val="20"/>
                        </w:rPr>
                      </w:pPr>
                      <w:r>
                        <w:rPr>
                          <w:b/>
                          <w:sz w:val="20"/>
                          <w:szCs w:val="20"/>
                        </w:rPr>
                        <w:t xml:space="preserve">Pay 15% of annual savings  </w:t>
                      </w:r>
                      <w:r>
                        <w:rPr>
                          <w:b/>
                          <w:sz w:val="20"/>
                          <w:szCs w:val="20"/>
                        </w:rPr>
                        <w:tab/>
                      </w:r>
                      <w:r>
                        <w:rPr>
                          <w:b/>
                          <w:sz w:val="20"/>
                          <w:szCs w:val="20"/>
                        </w:rPr>
                        <w:tab/>
                      </w:r>
                      <w:r>
                        <w:rPr>
                          <w:b/>
                          <w:sz w:val="20"/>
                          <w:szCs w:val="20"/>
                        </w:rPr>
                        <w:tab/>
                      </w:r>
                      <w:r>
                        <w:rPr>
                          <w:b/>
                          <w:sz w:val="20"/>
                          <w:szCs w:val="20"/>
                        </w:rPr>
                        <w:tab/>
                        <w:t>$487.50</w:t>
                      </w:r>
                    </w:p>
                    <w:p w:rsidR="005D13A6" w:rsidRDefault="005D13A6" w:rsidP="00541C99">
                      <w:pPr>
                        <w:pStyle w:val="ListParagraph"/>
                        <w:numPr>
                          <w:ilvl w:val="0"/>
                          <w:numId w:val="5"/>
                        </w:numPr>
                        <w:ind w:right="617"/>
                        <w:jc w:val="right"/>
                        <w:rPr>
                          <w:b/>
                          <w:sz w:val="20"/>
                          <w:szCs w:val="20"/>
                        </w:rPr>
                      </w:pPr>
                      <w:r>
                        <w:rPr>
                          <w:b/>
                          <w:sz w:val="20"/>
                          <w:szCs w:val="20"/>
                        </w:rPr>
                        <w:t xml:space="preserve">     TOTAL COST</w:t>
                      </w:r>
                      <w:r>
                        <w:rPr>
                          <w:b/>
                          <w:sz w:val="20"/>
                          <w:szCs w:val="20"/>
                        </w:rPr>
                        <w:tab/>
                        <w:t xml:space="preserve">   $637.50</w:t>
                      </w:r>
                    </w:p>
                    <w:p w:rsidR="005D13A6" w:rsidRDefault="005D13A6" w:rsidP="00541C99">
                      <w:pPr>
                        <w:pStyle w:val="ListParagraph"/>
                        <w:numPr>
                          <w:ilvl w:val="0"/>
                          <w:numId w:val="5"/>
                        </w:numPr>
                        <w:ind w:right="617"/>
                        <w:jc w:val="right"/>
                        <w:rPr>
                          <w:b/>
                          <w:sz w:val="20"/>
                          <w:szCs w:val="20"/>
                        </w:rPr>
                      </w:pPr>
                      <w:r>
                        <w:rPr>
                          <w:b/>
                          <w:sz w:val="20"/>
                          <w:szCs w:val="20"/>
                        </w:rPr>
                        <w:t>NET SAVINGS    $2612.50</w:t>
                      </w:r>
                    </w:p>
                    <w:p w:rsidR="005D13A6" w:rsidRDefault="00DC025D" w:rsidP="00541C99">
                      <w:pPr>
                        <w:pStyle w:val="ListParagraph"/>
                        <w:ind w:left="1446" w:right="617" w:hanging="1266"/>
                        <w:rPr>
                          <w:b/>
                          <w:sz w:val="20"/>
                          <w:szCs w:val="20"/>
                        </w:rPr>
                      </w:pPr>
                      <w:r>
                        <w:rPr>
                          <w:b/>
                          <w:sz w:val="20"/>
                          <w:szCs w:val="20"/>
                        </w:rPr>
                        <w:t>v</w:t>
                      </w:r>
                      <w:bookmarkStart w:id="1" w:name="_GoBack"/>
                      <w:bookmarkEnd w:id="1"/>
                      <w:r>
                        <w:rPr>
                          <w:b/>
                          <w:sz w:val="20"/>
                          <w:szCs w:val="20"/>
                        </w:rPr>
                        <w:t>s.</w:t>
                      </w:r>
                      <w:r w:rsidR="005D13A6">
                        <w:rPr>
                          <w:b/>
                          <w:sz w:val="20"/>
                          <w:szCs w:val="20"/>
                        </w:rPr>
                        <w:t xml:space="preserve">  Applying as an individual LHD:</w:t>
                      </w:r>
                    </w:p>
                    <w:p w:rsidR="005D13A6" w:rsidRPr="002B1CF4" w:rsidRDefault="005D13A6" w:rsidP="00541C99">
                      <w:pPr>
                        <w:ind w:left="720" w:right="617" w:firstLine="720"/>
                        <w:rPr>
                          <w:b/>
                          <w:color w:val="FF0000"/>
                          <w:sz w:val="20"/>
                          <w:szCs w:val="20"/>
                        </w:rPr>
                      </w:pPr>
                      <w:r w:rsidRPr="001F483F">
                        <w:rPr>
                          <w:b/>
                          <w:sz w:val="20"/>
                          <w:szCs w:val="20"/>
                        </w:rPr>
                        <w:t xml:space="preserve">NOT ELIGIBLE for the program  </w:t>
                      </w:r>
                      <w:r>
                        <w:rPr>
                          <w:b/>
                          <w:sz w:val="20"/>
                          <w:szCs w:val="20"/>
                        </w:rPr>
                        <w:tab/>
                      </w:r>
                      <w:r>
                        <w:rPr>
                          <w:b/>
                          <w:sz w:val="20"/>
                          <w:szCs w:val="20"/>
                        </w:rPr>
                        <w:tab/>
                      </w:r>
                      <w:r>
                        <w:rPr>
                          <w:b/>
                          <w:sz w:val="20"/>
                          <w:szCs w:val="20"/>
                        </w:rPr>
                        <w:tab/>
                      </w:r>
                      <w:r w:rsidRPr="002B1CF4">
                        <w:rPr>
                          <w:b/>
                          <w:color w:val="FF0000"/>
                          <w:sz w:val="20"/>
                          <w:szCs w:val="20"/>
                        </w:rPr>
                        <w:t>NET SAVINGS   ZERO</w:t>
                      </w:r>
                    </w:p>
                    <w:p w:rsidR="005D13A6" w:rsidRDefault="005D13A6" w:rsidP="00541C99">
                      <w:pPr>
                        <w:pStyle w:val="ListParagraph"/>
                        <w:ind w:left="3240" w:right="617"/>
                        <w:jc w:val="cen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5D13A6" w:rsidRPr="00BC15F0" w:rsidRDefault="005D13A6" w:rsidP="00541C99">
                      <w:pPr>
                        <w:pStyle w:val="ListParagraph"/>
                        <w:ind w:left="1446" w:right="617"/>
                        <w:rPr>
                          <w:b/>
                          <w:sz w:val="20"/>
                          <w:szCs w:val="20"/>
                        </w:rPr>
                      </w:pPr>
                    </w:p>
                  </w:txbxContent>
                </v:textbox>
              </v:shape>
            </w:pict>
          </mc:Fallback>
        </mc:AlternateContent>
      </w: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541C99" w:rsidRDefault="00541C99" w:rsidP="00541C99">
      <w:pPr>
        <w:autoSpaceDE w:val="0"/>
        <w:autoSpaceDN w:val="0"/>
        <w:adjustRightInd w:val="0"/>
        <w:rPr>
          <w:rFonts w:ascii="AvenirNext-DemiBold" w:hAnsi="AvenirNext-DemiBold" w:cs="AvenirNext-DemiBold"/>
          <w:b/>
          <w:bCs/>
          <w:color w:val="FFC50C"/>
          <w:sz w:val="26"/>
          <w:szCs w:val="26"/>
        </w:rPr>
      </w:pPr>
    </w:p>
    <w:p w:rsidR="004A79CD" w:rsidRDefault="004A79CD" w:rsidP="00E63CF4">
      <w:pPr>
        <w:pBdr>
          <w:bottom w:val="single" w:sz="6" w:space="0" w:color="ADADAD"/>
        </w:pBdr>
        <w:shd w:val="clear" w:color="auto" w:fill="FFFFFF"/>
        <w:spacing w:before="300" w:after="150"/>
        <w:outlineLvl w:val="4"/>
        <w:rPr>
          <w:rFonts w:ascii="Segoe UI" w:eastAsia="Times New Roman" w:hAnsi="Segoe UI" w:cs="Segoe UI"/>
          <w:b/>
          <w:bCs/>
          <w:color w:val="BB4200"/>
          <w:sz w:val="24"/>
          <w:szCs w:val="24"/>
        </w:rPr>
      </w:pPr>
    </w:p>
    <w:p w:rsidR="00913729" w:rsidRPr="00913729" w:rsidRDefault="00913729" w:rsidP="0091372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913729">
        <w:rPr>
          <w:rFonts w:ascii="Segoe UI" w:eastAsia="Times New Roman" w:hAnsi="Segoe UI" w:cs="Segoe UI"/>
          <w:b/>
          <w:bCs/>
          <w:color w:val="A78B25"/>
          <w:sz w:val="24"/>
          <w:szCs w:val="24"/>
        </w:rPr>
        <w:t>Next Steps:</w:t>
      </w:r>
    </w:p>
    <w:p w:rsidR="0067194D" w:rsidRDefault="00913729" w:rsidP="00DD4A44">
      <w:pPr>
        <w:autoSpaceDE w:val="0"/>
        <w:autoSpaceDN w:val="0"/>
        <w:adjustRightInd w:val="0"/>
        <w:rPr>
          <w:rFonts w:ascii="AvenirNext-Regular" w:hAnsi="AvenirNext-Regular" w:cs="AvenirNext-Regular"/>
          <w:sz w:val="32"/>
          <w:szCs w:val="32"/>
        </w:rPr>
      </w:pPr>
      <w:r w:rsidRPr="00DD4A44">
        <w:rPr>
          <w:rFonts w:ascii="AvenirNext-Regular" w:hAnsi="AvenirNext-Regular" w:cs="AvenirNext-Regular"/>
          <w:b/>
          <w:color w:val="FF0000"/>
          <w:sz w:val="32"/>
          <w:szCs w:val="32"/>
        </w:rPr>
        <w:t xml:space="preserve">No later than </w:t>
      </w:r>
      <w:r w:rsidR="00801B62" w:rsidRPr="00DD4A44">
        <w:rPr>
          <w:rFonts w:ascii="AvenirNext-Regular" w:hAnsi="AvenirNext-Regular" w:cs="AvenirNext-Regular"/>
          <w:b/>
          <w:color w:val="FF0000"/>
          <w:sz w:val="32"/>
          <w:szCs w:val="32"/>
        </w:rPr>
        <w:t>March 31</w:t>
      </w:r>
      <w:r w:rsidRPr="00DD4A44">
        <w:rPr>
          <w:rFonts w:ascii="AvenirNext-Regular" w:hAnsi="AvenirNext-Regular" w:cs="AvenirNext-Regular"/>
          <w:b/>
          <w:color w:val="FF0000"/>
          <w:sz w:val="32"/>
          <w:szCs w:val="32"/>
        </w:rPr>
        <w:t>, 201</w:t>
      </w:r>
      <w:r w:rsidR="00801B62" w:rsidRPr="00DD4A44">
        <w:rPr>
          <w:rFonts w:ascii="AvenirNext-Regular" w:hAnsi="AvenirNext-Regular" w:cs="AvenirNext-Regular"/>
          <w:b/>
          <w:color w:val="FF0000"/>
          <w:sz w:val="32"/>
          <w:szCs w:val="32"/>
        </w:rPr>
        <w:t>9</w:t>
      </w:r>
      <w:r w:rsidRPr="00DD4A44">
        <w:rPr>
          <w:rFonts w:ascii="AvenirNext-Regular" w:hAnsi="AvenirNext-Regular" w:cs="AvenirNext-Regular"/>
          <w:b/>
          <w:color w:val="FF0000"/>
          <w:sz w:val="32"/>
          <w:szCs w:val="32"/>
        </w:rPr>
        <w:t xml:space="preserve"> </w:t>
      </w:r>
      <w:r w:rsidRPr="00DD4A44">
        <w:rPr>
          <w:rFonts w:ascii="AvenirNext-Regular" w:hAnsi="AvenirNext-Regular" w:cs="AvenirNext-Regular"/>
          <w:sz w:val="32"/>
          <w:szCs w:val="32"/>
        </w:rPr>
        <w:t xml:space="preserve">– </w:t>
      </w:r>
      <w:r w:rsidR="0067194D">
        <w:rPr>
          <w:rFonts w:ascii="AvenirNext-Regular" w:hAnsi="AvenirNext-Regular" w:cs="AvenirNext-Regular"/>
          <w:sz w:val="32"/>
          <w:szCs w:val="32"/>
        </w:rPr>
        <w:t xml:space="preserve">complete and </w:t>
      </w:r>
      <w:r w:rsidRPr="00DD4A44">
        <w:rPr>
          <w:rFonts w:ascii="AvenirNext-Regular" w:hAnsi="AvenirNext-Regular" w:cs="AvenirNext-Regular"/>
          <w:sz w:val="32"/>
          <w:szCs w:val="32"/>
        </w:rPr>
        <w:t xml:space="preserve">submit </w:t>
      </w:r>
      <w:r w:rsidR="0067194D">
        <w:rPr>
          <w:rFonts w:ascii="AvenirNext-Regular" w:hAnsi="AvenirNext-Regular" w:cs="AvenirNext-Regular"/>
          <w:sz w:val="32"/>
          <w:szCs w:val="32"/>
        </w:rPr>
        <w:t xml:space="preserve">the following </w:t>
      </w:r>
      <w:r w:rsidR="0067194D" w:rsidRPr="00DD4A44">
        <w:rPr>
          <w:rFonts w:ascii="AvenirNext-Regular" w:hAnsi="AvenirNext-Regular" w:cs="AvenirNext-Regular"/>
          <w:sz w:val="32"/>
          <w:szCs w:val="32"/>
        </w:rPr>
        <w:t>to the Local Public Health Services Collaborative IN PDF FORMAT</w:t>
      </w:r>
      <w:r w:rsidR="0067194D">
        <w:rPr>
          <w:rFonts w:ascii="AvenirNext-Regular" w:hAnsi="AvenirNext-Regular" w:cs="AvenirNext-Regular"/>
          <w:sz w:val="32"/>
          <w:szCs w:val="32"/>
        </w:rPr>
        <w:t xml:space="preserve">: </w:t>
      </w:r>
    </w:p>
    <w:p w:rsidR="0067194D" w:rsidRPr="0067194D" w:rsidRDefault="0067194D" w:rsidP="0067194D">
      <w:pPr>
        <w:pStyle w:val="ListParagraph"/>
        <w:numPr>
          <w:ilvl w:val="0"/>
          <w:numId w:val="8"/>
        </w:numPr>
        <w:autoSpaceDE w:val="0"/>
        <w:autoSpaceDN w:val="0"/>
        <w:adjustRightInd w:val="0"/>
        <w:rPr>
          <w:rFonts w:ascii="AvenirNext-Regular" w:hAnsi="AvenirNext-Regular" w:cs="AvenirNext-Regular"/>
          <w:sz w:val="24"/>
          <w:szCs w:val="24"/>
        </w:rPr>
      </w:pPr>
      <w:r w:rsidRPr="0067194D">
        <w:rPr>
          <w:rFonts w:ascii="AvenirNext-Regular" w:hAnsi="AvenirNext-Regular" w:cs="AvenirNext-Regular"/>
          <w:sz w:val="24"/>
          <w:szCs w:val="24"/>
          <w:u w:val="single"/>
        </w:rPr>
        <w:t>L</w:t>
      </w:r>
      <w:r w:rsidR="00913729" w:rsidRPr="0067194D">
        <w:rPr>
          <w:rFonts w:ascii="AvenirNext-Regular" w:hAnsi="AvenirNext-Regular" w:cs="AvenirNext-Regular"/>
          <w:sz w:val="24"/>
          <w:szCs w:val="24"/>
          <w:u w:val="single"/>
        </w:rPr>
        <w:t>etter of agency</w:t>
      </w:r>
      <w:r w:rsidR="00913729" w:rsidRPr="0067194D">
        <w:rPr>
          <w:rFonts w:ascii="AvenirNext-Regular" w:hAnsi="AvenirNext-Regular" w:cs="AvenirNext-Regular"/>
          <w:sz w:val="24"/>
          <w:szCs w:val="24"/>
        </w:rPr>
        <w:t xml:space="preserve"> </w:t>
      </w:r>
      <w:r w:rsidRPr="0067194D">
        <w:rPr>
          <w:rFonts w:ascii="AvenirNext-Regular" w:hAnsi="AvenirNext-Regular" w:cs="AvenirNext-Regular"/>
          <w:sz w:val="24"/>
          <w:szCs w:val="24"/>
        </w:rPr>
        <w:t>(using template)</w:t>
      </w:r>
    </w:p>
    <w:p w:rsidR="00913729" w:rsidRPr="0067194D" w:rsidRDefault="00913729" w:rsidP="0067194D">
      <w:pPr>
        <w:pStyle w:val="ListParagraph"/>
        <w:numPr>
          <w:ilvl w:val="0"/>
          <w:numId w:val="8"/>
        </w:numPr>
        <w:autoSpaceDE w:val="0"/>
        <w:autoSpaceDN w:val="0"/>
        <w:adjustRightInd w:val="0"/>
        <w:rPr>
          <w:rFonts w:ascii="AvenirNext-Regular" w:hAnsi="AvenirNext-Regular" w:cs="AvenirNext-Regular"/>
          <w:sz w:val="24"/>
          <w:szCs w:val="24"/>
        </w:rPr>
      </w:pPr>
      <w:r w:rsidRPr="0067194D">
        <w:rPr>
          <w:rFonts w:ascii="AvenirNext-Regular" w:hAnsi="AvenirNext-Regular" w:cs="AvenirNext-Regular"/>
          <w:sz w:val="24"/>
          <w:szCs w:val="24"/>
          <w:u w:val="single"/>
        </w:rPr>
        <w:t>FCC form 460</w:t>
      </w:r>
      <w:r w:rsidRPr="0067194D">
        <w:rPr>
          <w:rFonts w:ascii="AvenirNext-Regular" w:hAnsi="AvenirNext-Regular" w:cs="AvenirNext-Regular"/>
          <w:sz w:val="24"/>
          <w:szCs w:val="24"/>
        </w:rPr>
        <w:t xml:space="preserve"> </w:t>
      </w:r>
    </w:p>
    <w:p w:rsidR="0067194D" w:rsidRPr="0067194D" w:rsidRDefault="0067194D" w:rsidP="0067194D">
      <w:pPr>
        <w:pStyle w:val="ListParagraph"/>
        <w:numPr>
          <w:ilvl w:val="0"/>
          <w:numId w:val="8"/>
        </w:numPr>
        <w:autoSpaceDE w:val="0"/>
        <w:autoSpaceDN w:val="0"/>
        <w:adjustRightInd w:val="0"/>
        <w:rPr>
          <w:rFonts w:ascii="AvenirNext-Regular" w:hAnsi="AvenirNext-Regular" w:cs="AvenirNext-Regular"/>
          <w:sz w:val="24"/>
          <w:szCs w:val="24"/>
        </w:rPr>
      </w:pPr>
      <w:r w:rsidRPr="0067194D">
        <w:rPr>
          <w:rFonts w:ascii="AvenirNext-Regular" w:hAnsi="AvenirNext-Regular" w:cs="AvenirNext-Regular"/>
          <w:sz w:val="24"/>
          <w:szCs w:val="24"/>
        </w:rPr>
        <w:t>2019 Internet Capacity Survey</w:t>
      </w:r>
    </w:p>
    <w:p w:rsidR="0067194D" w:rsidRPr="0067194D" w:rsidRDefault="0067194D" w:rsidP="0067194D">
      <w:pPr>
        <w:pStyle w:val="ListParagraph"/>
        <w:numPr>
          <w:ilvl w:val="0"/>
          <w:numId w:val="8"/>
        </w:numPr>
        <w:autoSpaceDE w:val="0"/>
        <w:autoSpaceDN w:val="0"/>
        <w:adjustRightInd w:val="0"/>
        <w:rPr>
          <w:rFonts w:ascii="AvenirNext-Regular" w:hAnsi="AvenirNext-Regular" w:cs="AvenirNext-Regular"/>
          <w:sz w:val="24"/>
          <w:szCs w:val="24"/>
        </w:rPr>
      </w:pPr>
      <w:r w:rsidRPr="0067194D">
        <w:rPr>
          <w:rFonts w:ascii="AvenirNext-Regular" w:hAnsi="AvenirNext-Regular" w:cs="AvenirNext-Regular"/>
          <w:sz w:val="24"/>
          <w:szCs w:val="24"/>
        </w:rPr>
        <w:t xml:space="preserve">Copies of your most recent internet service contract </w:t>
      </w:r>
      <w:r w:rsidRPr="0067194D">
        <w:rPr>
          <w:rFonts w:ascii="AvenirNext-Regular" w:hAnsi="AvenirNext-Regular" w:cs="AvenirNext-Regular"/>
          <w:sz w:val="24"/>
          <w:szCs w:val="24"/>
          <w:u w:val="single"/>
        </w:rPr>
        <w:t>and</w:t>
      </w:r>
      <w:r w:rsidRPr="0067194D">
        <w:rPr>
          <w:rFonts w:ascii="AvenirNext-Regular" w:hAnsi="AvenirNext-Regular" w:cs="AvenirNext-Regular"/>
          <w:sz w:val="24"/>
          <w:szCs w:val="24"/>
        </w:rPr>
        <w:t xml:space="preserve"> bill.</w:t>
      </w:r>
    </w:p>
    <w:p w:rsidR="00913729" w:rsidRDefault="00913729" w:rsidP="00913729">
      <w:pPr>
        <w:pStyle w:val="ListParagraph"/>
        <w:autoSpaceDE w:val="0"/>
        <w:autoSpaceDN w:val="0"/>
        <w:adjustRightInd w:val="0"/>
        <w:ind w:left="990"/>
        <w:rPr>
          <w:rFonts w:ascii="AvenirNext-Regular" w:hAnsi="AvenirNext-Regular" w:cs="AvenirNext-Regular"/>
          <w:sz w:val="20"/>
          <w:szCs w:val="20"/>
        </w:rPr>
      </w:pPr>
    </w:p>
    <w:p w:rsidR="00913729" w:rsidRDefault="00913729" w:rsidP="00913729">
      <w:pPr>
        <w:pStyle w:val="ListParagraph"/>
        <w:autoSpaceDE w:val="0"/>
        <w:autoSpaceDN w:val="0"/>
        <w:adjustRightInd w:val="0"/>
        <w:ind w:left="990"/>
        <w:rPr>
          <w:rFonts w:ascii="AvenirNext-Regular" w:hAnsi="AvenirNext-Regular" w:cs="AvenirNext-Regular"/>
          <w:sz w:val="20"/>
          <w:szCs w:val="20"/>
        </w:rPr>
      </w:pPr>
    </w:p>
    <w:p w:rsidR="00913729" w:rsidRPr="00913729" w:rsidRDefault="00913729" w:rsidP="00DD4A44">
      <w:pPr>
        <w:pStyle w:val="ListParagraph"/>
        <w:autoSpaceDE w:val="0"/>
        <w:autoSpaceDN w:val="0"/>
        <w:adjustRightInd w:val="0"/>
        <w:ind w:left="900"/>
        <w:rPr>
          <w:rFonts w:ascii="AvenirNext-Regular" w:hAnsi="AvenirNext-Regular" w:cs="AvenirNext-Regular"/>
          <w:sz w:val="20"/>
          <w:szCs w:val="20"/>
        </w:rPr>
      </w:pPr>
    </w:p>
    <w:p w:rsidR="004A79CD" w:rsidRPr="004A79CD" w:rsidRDefault="004A79CD" w:rsidP="004A79CD">
      <w:pPr>
        <w:autoSpaceDE w:val="0"/>
        <w:autoSpaceDN w:val="0"/>
        <w:adjustRightInd w:val="0"/>
        <w:rPr>
          <w:rFonts w:asciiTheme="majorHAnsi" w:hAnsiTheme="majorHAnsi" w:cs="Times New Roman"/>
          <w:b/>
          <w:bCs/>
          <w:color w:val="1F497D" w:themeColor="text2"/>
          <w:sz w:val="26"/>
          <w:szCs w:val="26"/>
        </w:rPr>
      </w:pPr>
      <w:r w:rsidRPr="004A79CD">
        <w:rPr>
          <w:rFonts w:asciiTheme="majorHAnsi" w:hAnsiTheme="majorHAnsi" w:cs="Times New Roman"/>
          <w:b/>
          <w:bCs/>
          <w:color w:val="1F497D" w:themeColor="text2"/>
          <w:sz w:val="26"/>
          <w:szCs w:val="26"/>
        </w:rPr>
        <w:t xml:space="preserve">Forms to be </w:t>
      </w:r>
      <w:proofErr w:type="gramStart"/>
      <w:r w:rsidRPr="004A79CD">
        <w:rPr>
          <w:rFonts w:asciiTheme="majorHAnsi" w:hAnsiTheme="majorHAnsi" w:cs="Times New Roman"/>
          <w:b/>
          <w:bCs/>
          <w:color w:val="1F497D" w:themeColor="text2"/>
          <w:sz w:val="26"/>
          <w:szCs w:val="26"/>
        </w:rPr>
        <w:t>Completed</w:t>
      </w:r>
      <w:proofErr w:type="gramEnd"/>
      <w:r>
        <w:rPr>
          <w:rFonts w:asciiTheme="majorHAnsi" w:hAnsiTheme="majorHAnsi" w:cs="Times New Roman"/>
          <w:b/>
          <w:bCs/>
          <w:color w:val="1F497D" w:themeColor="text2"/>
          <w:sz w:val="26"/>
          <w:szCs w:val="26"/>
        </w:rPr>
        <w:t xml:space="preserve"> – if LHD is interested in participating in the LPHSC application for funding:</w:t>
      </w:r>
      <w:r w:rsidRPr="004A79CD">
        <w:rPr>
          <w:rFonts w:asciiTheme="majorHAnsi" w:hAnsiTheme="majorHAnsi" w:cs="Times New Roman"/>
          <w:b/>
          <w:bCs/>
          <w:color w:val="1F497D" w:themeColor="text2"/>
          <w:sz w:val="26"/>
          <w:szCs w:val="26"/>
        </w:rPr>
        <w:t xml:space="preserve"> </w:t>
      </w:r>
    </w:p>
    <w:p w:rsidR="004A79CD" w:rsidRPr="00541C99" w:rsidRDefault="004A79CD"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Letter of Agency</w:t>
      </w:r>
    </w:p>
    <w:p w:rsidR="004A79CD" w:rsidRPr="00541C99" w:rsidRDefault="004A79CD" w:rsidP="00541C99">
      <w:pPr>
        <w:shd w:val="clear" w:color="auto" w:fill="FFFFFF"/>
        <w:spacing w:before="150" w:after="150"/>
        <w:rPr>
          <w:rFonts w:ascii="Tahoma" w:eastAsia="Times New Roman" w:hAnsi="Tahoma" w:cs="Tahoma"/>
          <w:sz w:val="20"/>
          <w:szCs w:val="20"/>
        </w:rPr>
      </w:pPr>
      <w:r w:rsidRPr="00541C99">
        <w:rPr>
          <w:rFonts w:ascii="Tahoma" w:eastAsia="Times New Roman" w:hAnsi="Tahoma" w:cs="Tahoma"/>
          <w:sz w:val="20"/>
          <w:szCs w:val="20"/>
        </w:rPr>
        <w:t>The letter of agency (LOA) provides written authorization to the project coordinator of a consortium to act on behalf of each participating health care provider (HCP) or health system not owned or operated by the consortium or organization operating the consortium. The LOA should be addressed to the project coordinator for the consortium leader.</w:t>
      </w:r>
      <w:r w:rsidR="00541C99">
        <w:rPr>
          <w:rFonts w:ascii="Tahoma" w:eastAsia="Times New Roman" w:hAnsi="Tahoma" w:cs="Tahoma"/>
          <w:sz w:val="20"/>
          <w:szCs w:val="20"/>
        </w:rPr>
        <w:t xml:space="preserve">  The template for the LOA is included in this information packet.</w:t>
      </w:r>
    </w:p>
    <w:p w:rsidR="008A05B4" w:rsidRPr="00541C99" w:rsidRDefault="008A05B4" w:rsidP="00541C99">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sidRPr="00541C99">
        <w:rPr>
          <w:rFonts w:ascii="Segoe UI" w:eastAsia="Times New Roman" w:hAnsi="Segoe UI" w:cs="Segoe UI"/>
          <w:b/>
          <w:bCs/>
          <w:color w:val="A78B25"/>
          <w:sz w:val="24"/>
          <w:szCs w:val="24"/>
        </w:rPr>
        <w:t>FCC Form 460</w:t>
      </w:r>
    </w:p>
    <w:p w:rsidR="008A05B4" w:rsidRPr="00E63CF4" w:rsidRDefault="008A05B4" w:rsidP="00E63CF4">
      <w:pPr>
        <w:shd w:val="clear" w:color="auto" w:fill="FFFFFF"/>
        <w:spacing w:before="150" w:after="150"/>
        <w:rPr>
          <w:rFonts w:ascii="Tahoma" w:eastAsia="Times New Roman" w:hAnsi="Tahoma" w:cs="Tahoma"/>
          <w:sz w:val="20"/>
          <w:szCs w:val="20"/>
        </w:rPr>
      </w:pPr>
      <w:r w:rsidRPr="00E63CF4">
        <w:rPr>
          <w:rFonts w:ascii="Tahoma" w:eastAsia="Times New Roman" w:hAnsi="Tahoma" w:cs="Tahoma"/>
          <w:sz w:val="20"/>
          <w:szCs w:val="20"/>
        </w:rPr>
        <w:t xml:space="preserve">An FCC Form 460 (Eligibility and Registration Form) must be submitted for each member of a consortium, even if that member has been deemed eligible to participate in another component of the Telecommunications Program or Pilot Program. With a </w:t>
      </w:r>
      <w:hyperlink r:id="rId8" w:history="1">
        <w:r w:rsidRPr="00E63CF4">
          <w:rPr>
            <w:rFonts w:ascii="Tahoma" w:eastAsia="Times New Roman" w:hAnsi="Tahoma" w:cs="Tahoma"/>
            <w:sz w:val="20"/>
            <w:szCs w:val="20"/>
            <w:shd w:val="clear" w:color="auto" w:fill="ECF1F4"/>
          </w:rPr>
          <w:t>letter of agency</w:t>
        </w:r>
      </w:hyperlink>
      <w:r w:rsidRPr="00E63CF4">
        <w:rPr>
          <w:rFonts w:ascii="Tahoma" w:eastAsia="Times New Roman" w:hAnsi="Tahoma" w:cs="Tahoma"/>
          <w:sz w:val="20"/>
          <w:szCs w:val="20"/>
        </w:rPr>
        <w:t xml:space="preserve"> (LOA), the consortium leader will file all program forms on behalf of the member HCPs.</w:t>
      </w:r>
    </w:p>
    <w:p w:rsidR="008A05B4" w:rsidRDefault="008A05B4" w:rsidP="00E63CF4">
      <w:pPr>
        <w:shd w:val="clear" w:color="auto" w:fill="FFFFFF"/>
        <w:spacing w:before="150" w:after="150"/>
        <w:rPr>
          <w:rFonts w:ascii="Tahoma" w:eastAsia="Times New Roman" w:hAnsi="Tahoma" w:cs="Tahoma"/>
          <w:sz w:val="20"/>
          <w:szCs w:val="20"/>
        </w:rPr>
      </w:pPr>
      <w:r w:rsidRPr="00E63CF4">
        <w:rPr>
          <w:rFonts w:ascii="Tahoma" w:eastAsia="Times New Roman" w:hAnsi="Tahoma" w:cs="Tahoma"/>
          <w:sz w:val="20"/>
          <w:szCs w:val="20"/>
        </w:rPr>
        <w:t xml:space="preserve">The FCC Form 460 may be submitted at any time during the funding year, and only needs to be filed once to </w:t>
      </w:r>
      <w:r w:rsidR="00913729">
        <w:rPr>
          <w:rFonts w:ascii="Tahoma" w:eastAsia="Times New Roman" w:hAnsi="Tahoma" w:cs="Tahoma"/>
          <w:sz w:val="20"/>
          <w:szCs w:val="20"/>
        </w:rPr>
        <w:t xml:space="preserve">establish an HCP's eligibility.  </w:t>
      </w:r>
      <w:r w:rsidRPr="00E63CF4">
        <w:rPr>
          <w:rFonts w:ascii="Tahoma" w:eastAsia="Times New Roman" w:hAnsi="Tahoma" w:cs="Tahoma"/>
          <w:sz w:val="20"/>
          <w:szCs w:val="20"/>
        </w:rPr>
        <w:t>If any HCP information filed on the FCC Form 460 changes, such as the site's physical location, statistical information, or eligible entity type, a new FCC Form 460 must be filed within 30 days.</w:t>
      </w:r>
    </w:p>
    <w:p w:rsidR="0067194D" w:rsidRPr="00541C99" w:rsidRDefault="0067194D" w:rsidP="0067194D">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Pr>
          <w:rFonts w:ascii="Segoe UI" w:eastAsia="Times New Roman" w:hAnsi="Segoe UI" w:cs="Segoe UI"/>
          <w:b/>
          <w:bCs/>
          <w:color w:val="A78B25"/>
          <w:sz w:val="24"/>
          <w:szCs w:val="24"/>
        </w:rPr>
        <w:t>2019 Internet Capacity Survey</w:t>
      </w:r>
    </w:p>
    <w:p w:rsidR="0067194D" w:rsidRPr="00E63CF4" w:rsidRDefault="0067194D" w:rsidP="00E63CF4">
      <w:pPr>
        <w:shd w:val="clear" w:color="auto" w:fill="FFFFFF"/>
        <w:spacing w:before="150" w:after="150"/>
        <w:rPr>
          <w:rFonts w:ascii="Tahoma" w:eastAsia="Times New Roman" w:hAnsi="Tahoma" w:cs="Tahoma"/>
          <w:sz w:val="20"/>
          <w:szCs w:val="20"/>
        </w:rPr>
      </w:pPr>
      <w:r>
        <w:rPr>
          <w:rFonts w:ascii="Tahoma" w:eastAsia="Times New Roman" w:hAnsi="Tahoma" w:cs="Tahoma"/>
          <w:sz w:val="20"/>
          <w:szCs w:val="20"/>
        </w:rPr>
        <w:t>Information is needed to complete the bidding process, as well as the final application and invoicing process.</w:t>
      </w:r>
    </w:p>
    <w:p w:rsidR="0067194D" w:rsidRPr="00541C99" w:rsidRDefault="0067194D" w:rsidP="0067194D">
      <w:pPr>
        <w:pBdr>
          <w:bottom w:val="single" w:sz="4" w:space="0" w:color="ADADAD"/>
        </w:pBdr>
        <w:shd w:val="clear" w:color="auto" w:fill="FFFFFF"/>
        <w:spacing w:before="230" w:after="115" w:line="324" w:lineRule="atLeast"/>
        <w:outlineLvl w:val="4"/>
        <w:rPr>
          <w:rFonts w:ascii="Segoe UI" w:eastAsia="Times New Roman" w:hAnsi="Segoe UI" w:cs="Segoe UI"/>
          <w:b/>
          <w:bCs/>
          <w:color w:val="A78B25"/>
          <w:sz w:val="24"/>
          <w:szCs w:val="24"/>
        </w:rPr>
      </w:pPr>
      <w:r>
        <w:rPr>
          <w:rFonts w:ascii="Segoe UI" w:eastAsia="Times New Roman" w:hAnsi="Segoe UI" w:cs="Segoe UI"/>
          <w:b/>
          <w:bCs/>
          <w:color w:val="A78B25"/>
          <w:sz w:val="24"/>
          <w:szCs w:val="24"/>
        </w:rPr>
        <w:t>Copies of Latest Internet Service Contract and Bill</w:t>
      </w:r>
    </w:p>
    <w:p w:rsidR="008A05B4" w:rsidRDefault="0067194D" w:rsidP="00E63CF4">
      <w:pPr>
        <w:shd w:val="clear" w:color="auto" w:fill="FFFFFF"/>
        <w:spacing w:before="115" w:after="115"/>
        <w:rPr>
          <w:rFonts w:ascii="Tahoma" w:eastAsia="Times New Roman" w:hAnsi="Tahoma" w:cs="Tahoma"/>
          <w:color w:val="4C4C4C"/>
          <w:sz w:val="20"/>
          <w:szCs w:val="20"/>
        </w:rPr>
      </w:pPr>
      <w:r>
        <w:rPr>
          <w:rFonts w:ascii="Tahoma" w:eastAsia="Times New Roman" w:hAnsi="Tahoma" w:cs="Tahoma"/>
          <w:color w:val="4C4C4C"/>
          <w:sz w:val="20"/>
          <w:szCs w:val="20"/>
        </w:rPr>
        <w:t>Both documents must be provided to USAC for the bidding process.</w:t>
      </w:r>
    </w:p>
    <w:p w:rsidR="0067194D" w:rsidRDefault="0067194D" w:rsidP="00E63CF4">
      <w:pPr>
        <w:shd w:val="clear" w:color="auto" w:fill="FFFFFF"/>
        <w:spacing w:before="115" w:after="115"/>
        <w:rPr>
          <w:rFonts w:ascii="Tahoma" w:eastAsia="Times New Roman" w:hAnsi="Tahoma" w:cs="Tahoma"/>
          <w:color w:val="4C4C4C"/>
          <w:sz w:val="20"/>
          <w:szCs w:val="20"/>
        </w:rPr>
      </w:pPr>
    </w:p>
    <w:p w:rsidR="0067194D" w:rsidRPr="008A05B4" w:rsidRDefault="0067194D" w:rsidP="00E63CF4">
      <w:pPr>
        <w:shd w:val="clear" w:color="auto" w:fill="FFFFFF"/>
        <w:spacing w:before="115" w:after="115"/>
        <w:rPr>
          <w:rFonts w:ascii="Tahoma" w:eastAsia="Times New Roman" w:hAnsi="Tahoma" w:cs="Tahoma"/>
          <w:color w:val="4C4C4C"/>
          <w:sz w:val="20"/>
          <w:szCs w:val="20"/>
        </w:rPr>
      </w:pPr>
      <w:bookmarkStart w:id="0" w:name="_GoBack"/>
      <w:bookmarkEnd w:id="0"/>
    </w:p>
    <w:p w:rsidR="00A0638D" w:rsidRPr="003904CF" w:rsidRDefault="003904CF" w:rsidP="00E63CF4">
      <w:pPr>
        <w:rPr>
          <w:b/>
          <w:sz w:val="16"/>
          <w:szCs w:val="16"/>
        </w:rPr>
      </w:pPr>
      <w:r w:rsidRPr="003904CF">
        <w:rPr>
          <w:b/>
          <w:sz w:val="16"/>
          <w:szCs w:val="16"/>
        </w:rPr>
        <w:t>IMPORTANT NOTE:  The Letter of Agency and Form 460 will authorize LPHSC to include a LHD in an application for funding.  The individual LHD may withdraw from that application at any time, if necessary, through the withdrawal of the LOA and Form 460.</w:t>
      </w:r>
      <w:r w:rsidR="00DD4A44">
        <w:rPr>
          <w:b/>
          <w:sz w:val="16"/>
          <w:szCs w:val="16"/>
        </w:rPr>
        <w:t xml:space="preserve">  In the event the rural status of the consortium cannot be maintained by including all interested LHDs, LHDs will be included on a “first come – first served basis” that maintains the rural status of the group.</w:t>
      </w:r>
    </w:p>
    <w:sectPr w:rsidR="00A0638D" w:rsidRPr="003904CF" w:rsidSect="00913729">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Next-D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enirNext-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948"/>
    <w:multiLevelType w:val="hybridMultilevel"/>
    <w:tmpl w:val="CF907DF2"/>
    <w:lvl w:ilvl="0" w:tplc="769A6524">
      <w:start w:val="1"/>
      <w:numFmt w:val="bullet"/>
      <w:lvlText w:val=""/>
      <w:lvlJc w:val="left"/>
      <w:pPr>
        <w:ind w:left="1446" w:hanging="360"/>
      </w:pPr>
      <w:rPr>
        <w:rFonts w:ascii="Symbol" w:hAnsi="Symbol" w:hint="default"/>
        <w:color w:val="4F81BD" w:themeColor="accen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62757"/>
    <w:multiLevelType w:val="hybridMultilevel"/>
    <w:tmpl w:val="F22AC5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0F92AD5"/>
    <w:multiLevelType w:val="hybridMultilevel"/>
    <w:tmpl w:val="E1CE612E"/>
    <w:lvl w:ilvl="0" w:tplc="769A6524">
      <w:start w:val="1"/>
      <w:numFmt w:val="bullet"/>
      <w:lvlText w:val=""/>
      <w:lvlJc w:val="left"/>
      <w:pPr>
        <w:ind w:left="1446" w:hanging="360"/>
      </w:pPr>
      <w:rPr>
        <w:rFonts w:ascii="Symbol" w:hAnsi="Symbol" w:hint="default"/>
        <w:color w:val="4F81BD" w:themeColor="accent1"/>
        <w:sz w:val="24"/>
        <w:szCs w:val="24"/>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9506437"/>
    <w:multiLevelType w:val="multilevel"/>
    <w:tmpl w:val="B3C0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523C0"/>
    <w:multiLevelType w:val="hybridMultilevel"/>
    <w:tmpl w:val="69462AC2"/>
    <w:lvl w:ilvl="0" w:tplc="769A6524">
      <w:start w:val="1"/>
      <w:numFmt w:val="bullet"/>
      <w:lvlText w:val=""/>
      <w:lvlJc w:val="left"/>
      <w:pPr>
        <w:ind w:left="2892" w:hanging="360"/>
      </w:pPr>
      <w:rPr>
        <w:rFonts w:ascii="Symbol" w:hAnsi="Symbol" w:hint="default"/>
        <w:color w:val="4F81BD" w:themeColor="accent1"/>
        <w:sz w:val="24"/>
        <w:szCs w:val="24"/>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5">
    <w:nsid w:val="446F1F18"/>
    <w:multiLevelType w:val="multilevel"/>
    <w:tmpl w:val="5E265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BE16C4"/>
    <w:multiLevelType w:val="hybridMultilevel"/>
    <w:tmpl w:val="41802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5"/>
    <w:lvlOverride w:ilvl="0">
      <w:lvl w:ilvl="0">
        <w:numFmt w:val="decimal"/>
        <w:lvlText w:val=""/>
        <w:lvlJc w:val="left"/>
      </w:lvl>
    </w:lvlOverride>
    <w:lvlOverride w:ilvl="1">
      <w:lvl w:ilvl="1">
        <w:numFmt w:val="lowerLetter"/>
        <w:lvlText w:val="%2."/>
        <w:lvlJc w:val="left"/>
      </w:lvl>
    </w:lvlOverride>
  </w:num>
  <w:num w:numId="3">
    <w:abstractNumId w:val="3"/>
  </w:num>
  <w:num w:numId="4">
    <w:abstractNumId w:val="2"/>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B4"/>
    <w:rsid w:val="00172D98"/>
    <w:rsid w:val="001F483F"/>
    <w:rsid w:val="002548BC"/>
    <w:rsid w:val="00281A67"/>
    <w:rsid w:val="002B1CF4"/>
    <w:rsid w:val="002D2ACA"/>
    <w:rsid w:val="003904CF"/>
    <w:rsid w:val="003A5380"/>
    <w:rsid w:val="004A79CD"/>
    <w:rsid w:val="00541C99"/>
    <w:rsid w:val="005D13A6"/>
    <w:rsid w:val="0067194D"/>
    <w:rsid w:val="00801B62"/>
    <w:rsid w:val="008A05B4"/>
    <w:rsid w:val="008E40C4"/>
    <w:rsid w:val="0090090E"/>
    <w:rsid w:val="00900EB8"/>
    <w:rsid w:val="00913729"/>
    <w:rsid w:val="009B61AB"/>
    <w:rsid w:val="00A0638D"/>
    <w:rsid w:val="00A47A9A"/>
    <w:rsid w:val="00AD6FB6"/>
    <w:rsid w:val="00BB621C"/>
    <w:rsid w:val="00BC15F0"/>
    <w:rsid w:val="00C807C4"/>
    <w:rsid w:val="00DC025D"/>
    <w:rsid w:val="00DD4A44"/>
    <w:rsid w:val="00E63CF4"/>
    <w:rsid w:val="00F1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8D"/>
  </w:style>
  <w:style w:type="paragraph" w:styleId="Heading2">
    <w:name w:val="heading 2"/>
    <w:basedOn w:val="Normal"/>
    <w:next w:val="Normal"/>
    <w:link w:val="Heading2Char"/>
    <w:uiPriority w:val="9"/>
    <w:unhideWhenUsed/>
    <w:qFormat/>
    <w:rsid w:val="008A05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5B4"/>
    <w:pPr>
      <w:spacing w:before="115" w:after="115"/>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A05B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0090E"/>
    <w:rPr>
      <w:rFonts w:ascii="Tahoma" w:hAnsi="Tahoma" w:cs="Tahoma"/>
      <w:sz w:val="16"/>
      <w:szCs w:val="16"/>
    </w:rPr>
  </w:style>
  <w:style w:type="character" w:customStyle="1" w:styleId="BalloonTextChar">
    <w:name w:val="Balloon Text Char"/>
    <w:basedOn w:val="DefaultParagraphFont"/>
    <w:link w:val="BalloonText"/>
    <w:uiPriority w:val="99"/>
    <w:semiHidden/>
    <w:rsid w:val="0090090E"/>
    <w:rPr>
      <w:rFonts w:ascii="Tahoma" w:hAnsi="Tahoma" w:cs="Tahoma"/>
      <w:sz w:val="16"/>
      <w:szCs w:val="16"/>
    </w:rPr>
  </w:style>
  <w:style w:type="paragraph" w:styleId="ListParagraph">
    <w:name w:val="List Paragraph"/>
    <w:basedOn w:val="Normal"/>
    <w:uiPriority w:val="34"/>
    <w:qFormat/>
    <w:rsid w:val="00BB6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8D"/>
  </w:style>
  <w:style w:type="paragraph" w:styleId="Heading2">
    <w:name w:val="heading 2"/>
    <w:basedOn w:val="Normal"/>
    <w:next w:val="Normal"/>
    <w:link w:val="Heading2Char"/>
    <w:uiPriority w:val="9"/>
    <w:unhideWhenUsed/>
    <w:qFormat/>
    <w:rsid w:val="008A05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5B4"/>
    <w:pPr>
      <w:spacing w:before="115" w:after="115"/>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A05B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0090E"/>
    <w:rPr>
      <w:rFonts w:ascii="Tahoma" w:hAnsi="Tahoma" w:cs="Tahoma"/>
      <w:sz w:val="16"/>
      <w:szCs w:val="16"/>
    </w:rPr>
  </w:style>
  <w:style w:type="character" w:customStyle="1" w:styleId="BalloonTextChar">
    <w:name w:val="Balloon Text Char"/>
    <w:basedOn w:val="DefaultParagraphFont"/>
    <w:link w:val="BalloonText"/>
    <w:uiPriority w:val="99"/>
    <w:semiHidden/>
    <w:rsid w:val="0090090E"/>
    <w:rPr>
      <w:rFonts w:ascii="Tahoma" w:hAnsi="Tahoma" w:cs="Tahoma"/>
      <w:sz w:val="16"/>
      <w:szCs w:val="16"/>
    </w:rPr>
  </w:style>
  <w:style w:type="paragraph" w:styleId="ListParagraph">
    <w:name w:val="List Paragraph"/>
    <w:basedOn w:val="Normal"/>
    <w:uiPriority w:val="34"/>
    <w:qFormat/>
    <w:rsid w:val="00BB6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32671">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836191846">
          <w:marLeft w:val="0"/>
          <w:marRight w:val="0"/>
          <w:marTop w:val="0"/>
          <w:marBottom w:val="0"/>
          <w:divBdr>
            <w:top w:val="none" w:sz="0" w:space="0" w:color="auto"/>
            <w:left w:val="single" w:sz="4" w:space="17" w:color="CCCCCC"/>
            <w:bottom w:val="none" w:sz="0" w:space="0" w:color="auto"/>
            <w:right w:val="single" w:sz="4" w:space="17" w:color="CCCCCC"/>
          </w:divBdr>
          <w:divsChild>
            <w:div w:id="654190641">
              <w:marLeft w:val="0"/>
              <w:marRight w:val="0"/>
              <w:marTop w:val="0"/>
              <w:marBottom w:val="0"/>
              <w:divBdr>
                <w:top w:val="single" w:sz="2" w:space="0" w:color="FF0066"/>
                <w:left w:val="single" w:sz="2" w:space="0" w:color="FF0066"/>
                <w:bottom w:val="single" w:sz="2" w:space="0" w:color="FF0066"/>
                <w:right w:val="single" w:sz="2" w:space="0" w:color="FF0066"/>
              </w:divBdr>
              <w:divsChild>
                <w:div w:id="1830362478">
                  <w:marLeft w:val="576"/>
                  <w:marRight w:val="0"/>
                  <w:marTop w:val="115"/>
                  <w:marBottom w:val="0"/>
                  <w:divBdr>
                    <w:top w:val="single" w:sz="2" w:space="0" w:color="CC9900"/>
                    <w:left w:val="single" w:sz="2" w:space="0" w:color="CC9900"/>
                    <w:bottom w:val="single" w:sz="2" w:space="17" w:color="CC9900"/>
                    <w:right w:val="single" w:sz="2" w:space="0" w:color="CC9900"/>
                  </w:divBdr>
                  <w:divsChild>
                    <w:div w:id="17148837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985353684">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819153073">
          <w:marLeft w:val="0"/>
          <w:marRight w:val="0"/>
          <w:marTop w:val="0"/>
          <w:marBottom w:val="0"/>
          <w:divBdr>
            <w:top w:val="none" w:sz="0" w:space="0" w:color="auto"/>
            <w:left w:val="single" w:sz="4" w:space="17" w:color="CCCCCC"/>
            <w:bottom w:val="none" w:sz="0" w:space="0" w:color="auto"/>
            <w:right w:val="single" w:sz="4" w:space="17" w:color="CCCCCC"/>
          </w:divBdr>
          <w:divsChild>
            <w:div w:id="1562449045">
              <w:marLeft w:val="0"/>
              <w:marRight w:val="0"/>
              <w:marTop w:val="0"/>
              <w:marBottom w:val="0"/>
              <w:divBdr>
                <w:top w:val="single" w:sz="2" w:space="0" w:color="FF0066"/>
                <w:left w:val="single" w:sz="2" w:space="0" w:color="FF0066"/>
                <w:bottom w:val="single" w:sz="2" w:space="0" w:color="FF0066"/>
                <w:right w:val="single" w:sz="2" w:space="0" w:color="FF0066"/>
              </w:divBdr>
              <w:divsChild>
                <w:div w:id="2000188370">
                  <w:marLeft w:val="576"/>
                  <w:marRight w:val="0"/>
                  <w:marTop w:val="115"/>
                  <w:marBottom w:val="0"/>
                  <w:divBdr>
                    <w:top w:val="single" w:sz="2" w:space="0" w:color="CC9900"/>
                    <w:left w:val="single" w:sz="2" w:space="0" w:color="CC9900"/>
                    <w:bottom w:val="single" w:sz="2" w:space="17" w:color="CC9900"/>
                    <w:right w:val="single" w:sz="2" w:space="0" w:color="CC9900"/>
                  </w:divBdr>
                  <w:divsChild>
                    <w:div w:id="8288626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1146238841">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55592276">
          <w:marLeft w:val="0"/>
          <w:marRight w:val="0"/>
          <w:marTop w:val="0"/>
          <w:marBottom w:val="0"/>
          <w:divBdr>
            <w:top w:val="none" w:sz="0" w:space="0" w:color="auto"/>
            <w:left w:val="single" w:sz="6" w:space="23" w:color="CCCCCC"/>
            <w:bottom w:val="none" w:sz="0" w:space="0" w:color="auto"/>
            <w:right w:val="single" w:sz="6" w:space="23" w:color="CCCCCC"/>
          </w:divBdr>
          <w:divsChild>
            <w:div w:id="1674070131">
              <w:marLeft w:val="0"/>
              <w:marRight w:val="0"/>
              <w:marTop w:val="0"/>
              <w:marBottom w:val="0"/>
              <w:divBdr>
                <w:top w:val="single" w:sz="2" w:space="0" w:color="FF0066"/>
                <w:left w:val="single" w:sz="2" w:space="0" w:color="FF0066"/>
                <w:bottom w:val="single" w:sz="2" w:space="0" w:color="FF0066"/>
                <w:right w:val="single" w:sz="2" w:space="0" w:color="FF0066"/>
              </w:divBdr>
              <w:divsChild>
                <w:div w:id="364335292">
                  <w:marLeft w:val="750"/>
                  <w:marRight w:val="0"/>
                  <w:marTop w:val="150"/>
                  <w:marBottom w:val="0"/>
                  <w:divBdr>
                    <w:top w:val="single" w:sz="2" w:space="0" w:color="CC9900"/>
                    <w:left w:val="single" w:sz="2" w:space="0" w:color="CC9900"/>
                    <w:bottom w:val="single" w:sz="2" w:space="23" w:color="CC9900"/>
                    <w:right w:val="single" w:sz="2" w:space="0" w:color="CC9900"/>
                  </w:divBdr>
                  <w:divsChild>
                    <w:div w:id="1290616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ac.org/rhc/healthcare-connect/Consortia/authorizations/loa.aspx" TargetMode="External"/><Relationship Id="rId3" Type="http://schemas.microsoft.com/office/2007/relationships/stylesWithEffects" Target="stylesWithEffects.xml"/><Relationship Id="rId7" Type="http://schemas.openxmlformats.org/officeDocument/2006/relationships/hyperlink" Target="http://usac.org/rhc/telecommunications/tools/Rural/search/searc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AOHC</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Bickford</dc:creator>
  <cp:lastModifiedBy>Beth Bickford</cp:lastModifiedBy>
  <cp:revision>5</cp:revision>
  <dcterms:created xsi:type="dcterms:W3CDTF">2019-03-08T19:47:00Z</dcterms:created>
  <dcterms:modified xsi:type="dcterms:W3CDTF">2019-03-08T20:30:00Z</dcterms:modified>
</cp:coreProperties>
</file>